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C5CFA6" w14:textId="2A05F82D" w:rsidR="005D66E3" w:rsidRPr="0054360E" w:rsidRDefault="005D66E3" w:rsidP="005B6F56">
      <w:pPr>
        <w:numPr>
          <w:ilvl w:val="0"/>
          <w:numId w:val="0"/>
        </w:numPr>
        <w:tabs>
          <w:tab w:val="left" w:pos="1320"/>
        </w:tabs>
        <w:spacing w:after="160" w:line="259" w:lineRule="auto"/>
        <w:ind w:left="-1080"/>
        <w:jc w:val="center"/>
        <w:rPr>
          <w:rFonts w:ascii="Times New Roman" w:hAnsi="Times New Roman" w:cstheme="majorBidi"/>
          <w:b/>
          <w:bCs/>
          <w:sz w:val="72"/>
          <w:szCs w:val="72"/>
        </w:rPr>
      </w:pPr>
      <w:r>
        <w:rPr>
          <w:rFonts w:ascii="Times New Roman" w:hAnsi="Times New Roman" w:cstheme="majorBidi"/>
          <w:b/>
          <w:bCs/>
          <w:sz w:val="72"/>
          <w:szCs w:val="72"/>
        </w:rPr>
        <w:t xml:space="preserve">Part C </w:t>
      </w:r>
      <w:r w:rsidRPr="0054360E">
        <w:rPr>
          <w:rFonts w:ascii="Times New Roman" w:hAnsi="Times New Roman" w:cstheme="majorBidi"/>
          <w:b/>
          <w:bCs/>
          <w:sz w:val="72"/>
          <w:szCs w:val="72"/>
        </w:rPr>
        <w:t>-</w:t>
      </w:r>
    </w:p>
    <w:p w14:paraId="34BC0C51" w14:textId="45E69D60" w:rsidR="005D66E3" w:rsidRDefault="005D66E3" w:rsidP="005B6F56">
      <w:pPr>
        <w:numPr>
          <w:ilvl w:val="0"/>
          <w:numId w:val="0"/>
        </w:numPr>
        <w:spacing w:after="160" w:line="259" w:lineRule="auto"/>
        <w:ind w:left="-1080"/>
        <w:jc w:val="center"/>
        <w:rPr>
          <w:rFonts w:ascii="Times New Roman" w:hAnsi="Times New Roman" w:cstheme="majorBidi"/>
          <w:b/>
          <w:bCs/>
          <w:sz w:val="72"/>
          <w:szCs w:val="72"/>
        </w:rPr>
      </w:pPr>
      <w:r>
        <w:rPr>
          <w:rFonts w:ascii="Times New Roman" w:hAnsi="Times New Roman" w:cstheme="majorBidi"/>
          <w:b/>
          <w:bCs/>
          <w:sz w:val="72"/>
          <w:szCs w:val="72"/>
        </w:rPr>
        <w:t>Appendices</w:t>
      </w:r>
    </w:p>
    <w:p w14:paraId="070EE307" w14:textId="61283392" w:rsidR="00751FD9" w:rsidRDefault="00751FD9">
      <w:pPr>
        <w:numPr>
          <w:ilvl w:val="0"/>
          <w:numId w:val="0"/>
        </w:numPr>
        <w:spacing w:after="160" w:line="259" w:lineRule="auto"/>
        <w:jc w:val="left"/>
        <w:rPr>
          <w:rFonts w:ascii="Times New Roman" w:hAnsi="Times New Roman" w:cstheme="majorBidi"/>
          <w:b/>
          <w:bCs/>
          <w:sz w:val="72"/>
          <w:szCs w:val="72"/>
        </w:rPr>
      </w:pPr>
      <w:r>
        <w:rPr>
          <w:rFonts w:ascii="Times New Roman" w:hAnsi="Times New Roman" w:cstheme="majorBidi"/>
          <w:b/>
          <w:bCs/>
          <w:sz w:val="72"/>
          <w:szCs w:val="72"/>
        </w:rPr>
        <w:br w:type="page"/>
      </w:r>
    </w:p>
    <w:p w14:paraId="5E4F5270" w14:textId="4EEE3BAF" w:rsidR="00751FD9" w:rsidRPr="00751FD9" w:rsidRDefault="00751FD9" w:rsidP="005B6F56">
      <w:pPr>
        <w:numPr>
          <w:ilvl w:val="0"/>
          <w:numId w:val="0"/>
        </w:numPr>
        <w:spacing w:after="160" w:line="259" w:lineRule="auto"/>
        <w:ind w:left="-1080"/>
        <w:jc w:val="center"/>
        <w:rPr>
          <w:rFonts w:ascii="Times New Roman" w:hAnsi="Times New Roman" w:cstheme="majorBidi"/>
          <w:b/>
          <w:bCs/>
          <w:sz w:val="32"/>
          <w:szCs w:val="32"/>
        </w:rPr>
      </w:pPr>
      <w:r w:rsidRPr="00751FD9">
        <w:rPr>
          <w:rFonts w:ascii="Times New Roman" w:hAnsi="Times New Roman" w:cstheme="majorBidi"/>
          <w:b/>
          <w:bCs/>
          <w:sz w:val="32"/>
          <w:szCs w:val="32"/>
        </w:rPr>
        <w:lastRenderedPageBreak/>
        <w:t>Table of contents</w:t>
      </w:r>
    </w:p>
    <w:p w14:paraId="6D47A045" w14:textId="18D435BD" w:rsidR="00751FD9" w:rsidRDefault="00751FD9">
      <w:pPr>
        <w:pStyle w:val="TOC1"/>
        <w:bidi w:val="0"/>
        <w:rPr>
          <w:rFonts w:asciiTheme="minorHAnsi" w:hAnsiTheme="minorHAnsi" w:cstheme="minorBidi"/>
          <w:kern w:val="2"/>
          <w14:ligatures w14:val="standardContextual"/>
        </w:rPr>
      </w:pPr>
      <w:r>
        <w:rPr>
          <w:rFonts w:ascii="Times New Roman" w:hAnsi="Times New Roman" w:cstheme="majorBidi"/>
          <w:b/>
          <w:bCs/>
          <w:sz w:val="72"/>
          <w:szCs w:val="72"/>
        </w:rPr>
        <w:fldChar w:fldCharType="begin"/>
      </w:r>
      <w:r>
        <w:rPr>
          <w:rFonts w:ascii="Times New Roman" w:hAnsi="Times New Roman" w:cstheme="majorBidi"/>
          <w:b/>
          <w:bCs/>
          <w:sz w:val="72"/>
          <w:szCs w:val="72"/>
        </w:rPr>
        <w:instrText xml:space="preserve"> TOC \h \z \t "</w:instrText>
      </w:r>
      <w:r>
        <w:rPr>
          <w:rFonts w:ascii="Times New Roman" w:hAnsi="Times New Roman" w:cstheme="majorBidi"/>
          <w:b/>
          <w:bCs/>
          <w:sz w:val="72"/>
          <w:szCs w:val="72"/>
          <w:rtl/>
        </w:rPr>
        <w:instrText>סגנון1,1</w:instrText>
      </w:r>
      <w:r>
        <w:rPr>
          <w:rFonts w:ascii="Times New Roman" w:hAnsi="Times New Roman" w:cstheme="majorBidi"/>
          <w:b/>
          <w:bCs/>
          <w:sz w:val="72"/>
          <w:szCs w:val="72"/>
        </w:rPr>
        <w:instrText xml:space="preserve">" </w:instrText>
      </w:r>
      <w:r>
        <w:rPr>
          <w:rFonts w:ascii="Times New Roman" w:hAnsi="Times New Roman" w:cstheme="majorBidi"/>
          <w:b/>
          <w:bCs/>
          <w:sz w:val="72"/>
          <w:szCs w:val="72"/>
        </w:rPr>
        <w:fldChar w:fldCharType="separate"/>
      </w:r>
      <w:hyperlink w:anchor="_Toc175655689" w:history="1">
        <w:r w:rsidRPr="004B1F66">
          <w:rPr>
            <w:rStyle w:val="Hyperlink"/>
          </w:rPr>
          <w:t>Appendix C12.5 – Laboratory Devices and drivers</w:t>
        </w:r>
        <w:r>
          <w:rPr>
            <w:webHidden/>
          </w:rPr>
          <w:tab/>
        </w:r>
        <w:r>
          <w:rPr>
            <w:webHidden/>
          </w:rPr>
          <w:fldChar w:fldCharType="begin"/>
        </w:r>
        <w:r>
          <w:rPr>
            <w:webHidden/>
          </w:rPr>
          <w:instrText xml:space="preserve"> PAGEREF _Toc175655689 \h </w:instrText>
        </w:r>
        <w:r>
          <w:rPr>
            <w:webHidden/>
          </w:rPr>
        </w:r>
        <w:r>
          <w:rPr>
            <w:webHidden/>
          </w:rPr>
          <w:fldChar w:fldCharType="separate"/>
        </w:r>
        <w:r w:rsidR="00605D4D">
          <w:rPr>
            <w:webHidden/>
          </w:rPr>
          <w:t>256</w:t>
        </w:r>
        <w:r>
          <w:rPr>
            <w:webHidden/>
          </w:rPr>
          <w:fldChar w:fldCharType="end"/>
        </w:r>
      </w:hyperlink>
    </w:p>
    <w:p w14:paraId="7423CE7D" w14:textId="2A1058FD" w:rsidR="00751FD9" w:rsidRDefault="00751FD9">
      <w:pPr>
        <w:pStyle w:val="TOC1"/>
        <w:bidi w:val="0"/>
        <w:rPr>
          <w:rFonts w:asciiTheme="minorHAnsi" w:hAnsiTheme="minorHAnsi" w:cstheme="minorBidi"/>
          <w:kern w:val="2"/>
          <w14:ligatures w14:val="standardContextual"/>
        </w:rPr>
      </w:pPr>
      <w:hyperlink w:anchor="_Toc175655691" w:history="1">
        <w:r w:rsidRPr="004B1F66">
          <w:rPr>
            <w:rStyle w:val="Hyperlink"/>
          </w:rPr>
          <w:t>Appendix C14 – Existing state</w:t>
        </w:r>
        <w:r>
          <w:rPr>
            <w:webHidden/>
          </w:rPr>
          <w:tab/>
        </w:r>
        <w:r>
          <w:rPr>
            <w:webHidden/>
          </w:rPr>
          <w:fldChar w:fldCharType="begin"/>
        </w:r>
        <w:r>
          <w:rPr>
            <w:webHidden/>
          </w:rPr>
          <w:instrText xml:space="preserve"> PAGEREF _Toc175655691 \h </w:instrText>
        </w:r>
        <w:r>
          <w:rPr>
            <w:webHidden/>
          </w:rPr>
        </w:r>
        <w:r>
          <w:rPr>
            <w:webHidden/>
          </w:rPr>
          <w:fldChar w:fldCharType="separate"/>
        </w:r>
        <w:r w:rsidR="00605D4D">
          <w:rPr>
            <w:webHidden/>
          </w:rPr>
          <w:t>256</w:t>
        </w:r>
        <w:r>
          <w:rPr>
            <w:webHidden/>
          </w:rPr>
          <w:fldChar w:fldCharType="end"/>
        </w:r>
      </w:hyperlink>
    </w:p>
    <w:p w14:paraId="7A725EDE" w14:textId="40EA1981" w:rsidR="00751FD9" w:rsidRDefault="00751FD9">
      <w:pPr>
        <w:pStyle w:val="TOC1"/>
        <w:bidi w:val="0"/>
        <w:rPr>
          <w:rFonts w:asciiTheme="minorHAnsi" w:hAnsiTheme="minorHAnsi" w:cstheme="minorBidi"/>
          <w:kern w:val="2"/>
          <w14:ligatures w14:val="standardContextual"/>
        </w:rPr>
      </w:pPr>
      <w:hyperlink w:anchor="_Toc175655693" w:history="1">
        <w:r w:rsidRPr="004B1F66">
          <w:rPr>
            <w:rStyle w:val="Hyperlink"/>
          </w:rPr>
          <w:t>Appendix C14.8 – Right of choice</w:t>
        </w:r>
        <w:r>
          <w:rPr>
            <w:webHidden/>
          </w:rPr>
          <w:tab/>
        </w:r>
        <w:r>
          <w:rPr>
            <w:webHidden/>
          </w:rPr>
          <w:fldChar w:fldCharType="begin"/>
        </w:r>
        <w:r>
          <w:rPr>
            <w:webHidden/>
          </w:rPr>
          <w:instrText xml:space="preserve"> PAGEREF _Toc175655693 \h </w:instrText>
        </w:r>
        <w:r>
          <w:rPr>
            <w:webHidden/>
          </w:rPr>
        </w:r>
        <w:r>
          <w:rPr>
            <w:webHidden/>
          </w:rPr>
          <w:fldChar w:fldCharType="separate"/>
        </w:r>
        <w:r w:rsidR="00605D4D">
          <w:rPr>
            <w:webHidden/>
          </w:rPr>
          <w:t>257</w:t>
        </w:r>
        <w:r>
          <w:rPr>
            <w:webHidden/>
          </w:rPr>
          <w:fldChar w:fldCharType="end"/>
        </w:r>
      </w:hyperlink>
    </w:p>
    <w:p w14:paraId="10AE6B3B" w14:textId="32592642" w:rsidR="00751FD9" w:rsidRDefault="00751FD9">
      <w:pPr>
        <w:pStyle w:val="TOC1"/>
        <w:bidi w:val="0"/>
        <w:rPr>
          <w:rFonts w:asciiTheme="minorHAnsi" w:hAnsiTheme="minorHAnsi" w:cstheme="minorBidi"/>
          <w:kern w:val="2"/>
          <w14:ligatures w14:val="standardContextual"/>
        </w:rPr>
      </w:pPr>
      <w:hyperlink w:anchor="_Toc175655694" w:history="1">
        <w:r w:rsidRPr="004B1F66">
          <w:rPr>
            <w:rStyle w:val="Hyperlink"/>
          </w:rPr>
          <w:t>Appendix C17.11 – Reports</w:t>
        </w:r>
        <w:r>
          <w:rPr>
            <w:webHidden/>
          </w:rPr>
          <w:tab/>
        </w:r>
        <w:r>
          <w:rPr>
            <w:webHidden/>
          </w:rPr>
          <w:fldChar w:fldCharType="begin"/>
        </w:r>
        <w:r>
          <w:rPr>
            <w:webHidden/>
          </w:rPr>
          <w:instrText xml:space="preserve"> PAGEREF _Toc175655694 \h </w:instrText>
        </w:r>
        <w:r>
          <w:rPr>
            <w:webHidden/>
          </w:rPr>
        </w:r>
        <w:r>
          <w:rPr>
            <w:webHidden/>
          </w:rPr>
          <w:fldChar w:fldCharType="separate"/>
        </w:r>
        <w:r w:rsidR="00605D4D">
          <w:rPr>
            <w:webHidden/>
          </w:rPr>
          <w:t>259</w:t>
        </w:r>
        <w:r>
          <w:rPr>
            <w:webHidden/>
          </w:rPr>
          <w:fldChar w:fldCharType="end"/>
        </w:r>
      </w:hyperlink>
    </w:p>
    <w:p w14:paraId="0E545E39" w14:textId="682653BB" w:rsidR="00751FD9" w:rsidRDefault="00751FD9">
      <w:pPr>
        <w:pStyle w:val="TOC1"/>
        <w:bidi w:val="0"/>
        <w:rPr>
          <w:rFonts w:asciiTheme="minorHAnsi" w:hAnsiTheme="minorHAnsi" w:cstheme="minorBidi"/>
          <w:kern w:val="2"/>
          <w14:ligatures w14:val="standardContextual"/>
        </w:rPr>
      </w:pPr>
      <w:hyperlink w:anchor="_Toc175655695" w:history="1">
        <w:r w:rsidRPr="004B1F66">
          <w:rPr>
            <w:rStyle w:val="Hyperlink"/>
          </w:rPr>
          <w:t>Appendix C28.6 – Backup and Restoration</w:t>
        </w:r>
        <w:r>
          <w:rPr>
            <w:webHidden/>
          </w:rPr>
          <w:tab/>
        </w:r>
        <w:r>
          <w:rPr>
            <w:webHidden/>
          </w:rPr>
          <w:fldChar w:fldCharType="begin"/>
        </w:r>
        <w:r>
          <w:rPr>
            <w:webHidden/>
          </w:rPr>
          <w:instrText xml:space="preserve"> PAGEREF _Toc175655695 \h </w:instrText>
        </w:r>
        <w:r>
          <w:rPr>
            <w:webHidden/>
          </w:rPr>
          <w:fldChar w:fldCharType="separate"/>
        </w:r>
        <w:r w:rsidR="00605D4D">
          <w:rPr>
            <w:b/>
            <w:bCs/>
            <w:webHidden/>
          </w:rPr>
          <w:t>Error! Bookmark not defined.</w:t>
        </w:r>
        <w:r>
          <w:rPr>
            <w:webHidden/>
          </w:rPr>
          <w:fldChar w:fldCharType="end"/>
        </w:r>
      </w:hyperlink>
    </w:p>
    <w:p w14:paraId="3A22A98B" w14:textId="55AF757D" w:rsidR="00751FD9" w:rsidRPr="0054360E" w:rsidRDefault="00751FD9" w:rsidP="005B6F56">
      <w:pPr>
        <w:numPr>
          <w:ilvl w:val="0"/>
          <w:numId w:val="0"/>
        </w:numPr>
        <w:spacing w:after="160" w:line="259" w:lineRule="auto"/>
        <w:ind w:left="-1080"/>
        <w:jc w:val="center"/>
        <w:rPr>
          <w:rFonts w:ascii="Times New Roman" w:hAnsi="Times New Roman" w:cstheme="majorBidi"/>
          <w:b/>
          <w:bCs/>
          <w:sz w:val="72"/>
          <w:szCs w:val="72"/>
        </w:rPr>
      </w:pPr>
      <w:r>
        <w:rPr>
          <w:rFonts w:ascii="Times New Roman" w:hAnsi="Times New Roman" w:cstheme="majorBidi"/>
          <w:b/>
          <w:bCs/>
          <w:sz w:val="72"/>
          <w:szCs w:val="72"/>
        </w:rPr>
        <w:fldChar w:fldCharType="end"/>
      </w:r>
    </w:p>
    <w:p w14:paraId="2D314064" w14:textId="29B308EB" w:rsidR="005D66E3" w:rsidRDefault="005D66E3" w:rsidP="005B6F56">
      <w:pPr>
        <w:numPr>
          <w:ilvl w:val="0"/>
          <w:numId w:val="0"/>
        </w:numPr>
        <w:spacing w:after="160" w:line="259" w:lineRule="auto"/>
        <w:ind w:left="-1080"/>
        <w:jc w:val="left"/>
        <w:rPr>
          <w:rFonts w:ascii="Times New Roman" w:hAnsi="Times New Roman" w:cstheme="majorBidi"/>
          <w:b/>
          <w:bCs/>
        </w:rPr>
      </w:pPr>
      <w:r>
        <w:rPr>
          <w:rFonts w:ascii="Times New Roman" w:hAnsi="Times New Roman" w:cstheme="majorBidi"/>
          <w:b/>
          <w:bCs/>
        </w:rPr>
        <w:br w:type="page"/>
      </w:r>
    </w:p>
    <w:p w14:paraId="159F1CBB" w14:textId="77777777" w:rsidR="002F40E9" w:rsidRDefault="002F40E9" w:rsidP="005B6F56">
      <w:pPr>
        <w:numPr>
          <w:ilvl w:val="0"/>
          <w:numId w:val="0"/>
        </w:numPr>
        <w:spacing w:after="160" w:line="259" w:lineRule="auto"/>
        <w:ind w:left="-1080"/>
        <w:jc w:val="left"/>
        <w:rPr>
          <w:rFonts w:ascii="Times New Roman" w:hAnsi="Times New Roman" w:cstheme="majorBidi"/>
          <w:bCs/>
        </w:rPr>
        <w:sectPr w:rsidR="002F40E9" w:rsidSect="005F3827">
          <w:headerReference w:type="default" r:id="rId8"/>
          <w:pgSz w:w="12240" w:h="15840"/>
          <w:pgMar w:top="1440" w:right="1800" w:bottom="1440" w:left="1800" w:header="720" w:footer="720" w:gutter="0"/>
          <w:pgNumType w:start="254"/>
          <w:cols w:space="720"/>
          <w:docGrid w:linePitch="360"/>
        </w:sectPr>
      </w:pPr>
    </w:p>
    <w:p w14:paraId="6CB692A3" w14:textId="77777777" w:rsidR="002F40E9" w:rsidRDefault="002F40E9" w:rsidP="005B6F56">
      <w:pPr>
        <w:numPr>
          <w:ilvl w:val="0"/>
          <w:numId w:val="0"/>
        </w:numPr>
        <w:spacing w:after="160" w:line="259" w:lineRule="auto"/>
        <w:ind w:left="-1080"/>
        <w:jc w:val="left"/>
        <w:rPr>
          <w:rFonts w:ascii="Times New Roman" w:hAnsi="Times New Roman" w:cstheme="majorBidi"/>
          <w:bCs/>
        </w:rPr>
      </w:pPr>
    </w:p>
    <w:p w14:paraId="5469D9E4" w14:textId="43E7088E" w:rsidR="005D66E3" w:rsidRDefault="00800306" w:rsidP="00800306">
      <w:pPr>
        <w:pStyle w:val="1"/>
        <w:numPr>
          <w:ilvl w:val="0"/>
          <w:numId w:val="0"/>
        </w:numPr>
        <w:bidi w:val="0"/>
        <w:ind w:left="-1080"/>
        <w:jc w:val="left"/>
      </w:pPr>
      <w:bookmarkStart w:id="0" w:name="_Toc175655689"/>
      <w:r>
        <w:t xml:space="preserve">Appendix C 12.5 – Laboratory devices </w:t>
      </w:r>
      <w:r w:rsidR="001445F8">
        <w:t>and drivers</w:t>
      </w:r>
      <w:bookmarkEnd w:id="0"/>
    </w:p>
    <w:p w14:paraId="60F73E22" w14:textId="77777777" w:rsidR="001445F8" w:rsidRDefault="001445F8" w:rsidP="001445F8">
      <w:pPr>
        <w:pStyle w:val="1"/>
        <w:numPr>
          <w:ilvl w:val="0"/>
          <w:numId w:val="0"/>
        </w:numPr>
        <w:bidi w:val="0"/>
        <w:ind w:left="-1080"/>
        <w:jc w:val="left"/>
      </w:pPr>
    </w:p>
    <w:p w14:paraId="09C0A694" w14:textId="34E29ABF" w:rsidR="001445F8" w:rsidRPr="001445F8" w:rsidRDefault="001445F8" w:rsidP="001445F8">
      <w:pPr>
        <w:pStyle w:val="1"/>
        <w:numPr>
          <w:ilvl w:val="0"/>
          <w:numId w:val="0"/>
        </w:numPr>
        <w:bidi w:val="0"/>
        <w:ind w:left="-1080"/>
        <w:jc w:val="left"/>
        <w:rPr>
          <w:b w:val="0"/>
          <w:bCs w:val="0"/>
          <w:color w:val="000000"/>
          <w:sz w:val="24"/>
          <w:szCs w:val="24"/>
        </w:rPr>
      </w:pPr>
      <w:bookmarkStart w:id="1" w:name="_Toc175655690"/>
      <w:r w:rsidRPr="001445F8">
        <w:rPr>
          <w:b w:val="0"/>
          <w:bCs w:val="0"/>
          <w:color w:val="000000"/>
          <w:sz w:val="24"/>
          <w:szCs w:val="24"/>
        </w:rPr>
        <w:t xml:space="preserve">See </w:t>
      </w:r>
      <w:r>
        <w:rPr>
          <w:b w:val="0"/>
          <w:bCs w:val="0"/>
          <w:color w:val="000000"/>
          <w:sz w:val="24"/>
          <w:szCs w:val="24"/>
        </w:rPr>
        <w:t>E</w:t>
      </w:r>
      <w:r w:rsidRPr="001445F8">
        <w:rPr>
          <w:b w:val="0"/>
          <w:bCs w:val="0"/>
          <w:color w:val="000000"/>
          <w:sz w:val="24"/>
          <w:szCs w:val="24"/>
        </w:rPr>
        <w:t xml:space="preserve">xcel file </w:t>
      </w:r>
      <w:r w:rsidR="00167A02" w:rsidRPr="001445F8">
        <w:rPr>
          <w:b w:val="0"/>
          <w:bCs w:val="0"/>
          <w:color w:val="000000"/>
          <w:sz w:val="24"/>
          <w:szCs w:val="24"/>
        </w:rPr>
        <w:t>“</w:t>
      </w:r>
      <w:r w:rsidR="00167A02">
        <w:rPr>
          <w:rFonts w:hint="cs"/>
          <w:b w:val="0"/>
          <w:bCs w:val="0"/>
          <w:color w:val="000000"/>
          <w:sz w:val="24"/>
          <w:szCs w:val="24"/>
        </w:rPr>
        <w:t>Appendix</w:t>
      </w:r>
      <w:r w:rsidR="00E66FF7">
        <w:rPr>
          <w:b w:val="0"/>
          <w:bCs w:val="0"/>
          <w:color w:val="000000"/>
          <w:sz w:val="24"/>
          <w:szCs w:val="24"/>
        </w:rPr>
        <w:t xml:space="preserve"> C12.5 </w:t>
      </w:r>
      <w:r w:rsidRPr="001445F8">
        <w:rPr>
          <w:b w:val="0"/>
          <w:bCs w:val="0"/>
          <w:color w:val="000000"/>
          <w:sz w:val="24"/>
          <w:szCs w:val="24"/>
        </w:rPr>
        <w:t>laboratory devices and drivers”.</w:t>
      </w:r>
      <w:bookmarkEnd w:id="1"/>
    </w:p>
    <w:p w14:paraId="2281E66A" w14:textId="77777777" w:rsidR="002F40E9" w:rsidRDefault="002F40E9" w:rsidP="005B6F56">
      <w:pPr>
        <w:numPr>
          <w:ilvl w:val="0"/>
          <w:numId w:val="0"/>
        </w:numPr>
        <w:spacing w:after="160" w:line="259" w:lineRule="auto"/>
        <w:ind w:left="-1080"/>
        <w:jc w:val="left"/>
        <w:rPr>
          <w:rFonts w:ascii="Times New Roman" w:hAnsi="Times New Roman" w:cstheme="majorBidi"/>
        </w:rPr>
      </w:pPr>
    </w:p>
    <w:p w14:paraId="14909C5E" w14:textId="77777777" w:rsidR="00E564F6" w:rsidRDefault="00E564F6" w:rsidP="005B6F56">
      <w:pPr>
        <w:numPr>
          <w:ilvl w:val="0"/>
          <w:numId w:val="0"/>
        </w:numPr>
        <w:spacing w:after="160" w:line="259" w:lineRule="auto"/>
        <w:ind w:left="-1080"/>
        <w:jc w:val="left"/>
        <w:rPr>
          <w:rFonts w:ascii="Times New Roman" w:hAnsi="Times New Roman" w:cstheme="majorBidi"/>
        </w:rPr>
      </w:pPr>
    </w:p>
    <w:p w14:paraId="5A3E7529" w14:textId="77777777" w:rsidR="00E564F6" w:rsidRDefault="00E564F6" w:rsidP="005B6F56">
      <w:pPr>
        <w:numPr>
          <w:ilvl w:val="0"/>
          <w:numId w:val="0"/>
        </w:numPr>
        <w:spacing w:after="160" w:line="259" w:lineRule="auto"/>
        <w:ind w:left="-1080"/>
        <w:jc w:val="left"/>
        <w:rPr>
          <w:rFonts w:ascii="Times New Roman" w:hAnsi="Times New Roman" w:cstheme="majorBidi"/>
        </w:rPr>
      </w:pPr>
    </w:p>
    <w:p w14:paraId="25480E58" w14:textId="77777777" w:rsidR="00800306" w:rsidRDefault="00800306" w:rsidP="005B6F56">
      <w:pPr>
        <w:numPr>
          <w:ilvl w:val="0"/>
          <w:numId w:val="0"/>
        </w:numPr>
        <w:spacing w:after="160" w:line="259" w:lineRule="auto"/>
        <w:ind w:left="-1080"/>
        <w:jc w:val="left"/>
        <w:rPr>
          <w:rFonts w:ascii="Times New Roman" w:hAnsi="Times New Roman" w:cstheme="majorBidi"/>
        </w:rPr>
      </w:pPr>
    </w:p>
    <w:p w14:paraId="0FD71FA8" w14:textId="3994D29E" w:rsidR="00FC005F" w:rsidRDefault="00800306" w:rsidP="00800306">
      <w:pPr>
        <w:pStyle w:val="1"/>
        <w:numPr>
          <w:ilvl w:val="0"/>
          <w:numId w:val="0"/>
        </w:numPr>
        <w:bidi w:val="0"/>
        <w:ind w:left="-1080"/>
        <w:jc w:val="left"/>
      </w:pPr>
      <w:bookmarkStart w:id="2" w:name="_Toc175655691"/>
      <w:r>
        <w:t xml:space="preserve">Appendix C14 - </w:t>
      </w:r>
      <w:r w:rsidR="00FC005F">
        <w:t>Existing state</w:t>
      </w:r>
      <w:bookmarkEnd w:id="2"/>
    </w:p>
    <w:p w14:paraId="4DBA527B" w14:textId="77777777" w:rsidR="002F40E9" w:rsidRDefault="002F40E9" w:rsidP="005B6F56">
      <w:pPr>
        <w:numPr>
          <w:ilvl w:val="0"/>
          <w:numId w:val="0"/>
        </w:numPr>
        <w:spacing w:after="160" w:line="259" w:lineRule="auto"/>
        <w:ind w:left="-1080"/>
        <w:jc w:val="left"/>
        <w:rPr>
          <w:rFonts w:ascii="Times New Roman" w:hAnsi="Times New Roman" w:cstheme="majorBidi"/>
        </w:rPr>
      </w:pPr>
    </w:p>
    <w:p w14:paraId="14569CDB" w14:textId="71185A9A" w:rsidR="00FC005F" w:rsidRPr="001445F8" w:rsidRDefault="00FC005F" w:rsidP="00FC005F">
      <w:pPr>
        <w:pStyle w:val="1"/>
        <w:numPr>
          <w:ilvl w:val="0"/>
          <w:numId w:val="0"/>
        </w:numPr>
        <w:bidi w:val="0"/>
        <w:ind w:left="-1080"/>
        <w:jc w:val="left"/>
        <w:rPr>
          <w:b w:val="0"/>
          <w:bCs w:val="0"/>
          <w:color w:val="000000"/>
          <w:sz w:val="24"/>
          <w:szCs w:val="24"/>
        </w:rPr>
      </w:pPr>
      <w:bookmarkStart w:id="3" w:name="_Toc175655692"/>
      <w:r w:rsidRPr="001445F8">
        <w:rPr>
          <w:b w:val="0"/>
          <w:bCs w:val="0"/>
          <w:color w:val="000000"/>
          <w:sz w:val="24"/>
          <w:szCs w:val="24"/>
        </w:rPr>
        <w:t xml:space="preserve">See </w:t>
      </w:r>
      <w:r>
        <w:rPr>
          <w:b w:val="0"/>
          <w:bCs w:val="0"/>
          <w:color w:val="000000"/>
          <w:sz w:val="24"/>
          <w:szCs w:val="24"/>
        </w:rPr>
        <w:t>separate file</w:t>
      </w:r>
      <w:r w:rsidR="00E66FF7">
        <w:rPr>
          <w:b w:val="0"/>
          <w:bCs w:val="0"/>
          <w:color w:val="000000"/>
          <w:sz w:val="24"/>
          <w:szCs w:val="24"/>
        </w:rPr>
        <w:t xml:space="preserve"> “Appendix C14 Existing state”</w:t>
      </w:r>
      <w:r w:rsidR="00167A02">
        <w:rPr>
          <w:b w:val="0"/>
          <w:bCs w:val="0"/>
          <w:color w:val="000000"/>
          <w:sz w:val="24"/>
          <w:szCs w:val="24"/>
        </w:rPr>
        <w:t>.</w:t>
      </w:r>
      <w:bookmarkEnd w:id="3"/>
    </w:p>
    <w:p w14:paraId="618907BE" w14:textId="77777777" w:rsidR="002F40E9" w:rsidRDefault="002F40E9" w:rsidP="005B6F56">
      <w:pPr>
        <w:numPr>
          <w:ilvl w:val="0"/>
          <w:numId w:val="0"/>
        </w:numPr>
        <w:spacing w:after="160" w:line="259" w:lineRule="auto"/>
        <w:ind w:left="-1080"/>
        <w:jc w:val="left"/>
        <w:rPr>
          <w:rFonts w:ascii="Times New Roman" w:hAnsi="Times New Roman" w:cstheme="majorBidi"/>
          <w:b/>
          <w:bCs/>
        </w:rPr>
      </w:pPr>
    </w:p>
    <w:p w14:paraId="5580024F" w14:textId="77777777" w:rsidR="00295671" w:rsidRDefault="00295671" w:rsidP="005B6F56">
      <w:pPr>
        <w:numPr>
          <w:ilvl w:val="0"/>
          <w:numId w:val="0"/>
        </w:numPr>
        <w:ind w:left="-1080"/>
        <w:jc w:val="left"/>
      </w:pPr>
    </w:p>
    <w:p w14:paraId="67B8E3CE" w14:textId="77777777" w:rsidR="00665C1F" w:rsidRDefault="00665C1F" w:rsidP="005B6F56">
      <w:pPr>
        <w:numPr>
          <w:ilvl w:val="0"/>
          <w:numId w:val="0"/>
        </w:numPr>
        <w:ind w:left="-1080"/>
        <w:jc w:val="left"/>
        <w:sectPr w:rsidR="00665C1F" w:rsidSect="001445F8">
          <w:pgSz w:w="12240" w:h="15840"/>
          <w:pgMar w:top="1440" w:right="1800" w:bottom="1440" w:left="1800" w:header="720" w:footer="720" w:gutter="0"/>
          <w:cols w:space="720"/>
          <w:docGrid w:linePitch="360"/>
        </w:sectPr>
      </w:pPr>
    </w:p>
    <w:p w14:paraId="19FBB0C3" w14:textId="0461D3D8" w:rsidR="00665C1F" w:rsidRDefault="00665C1F" w:rsidP="005B6F56">
      <w:pPr>
        <w:pStyle w:val="1"/>
        <w:numPr>
          <w:ilvl w:val="0"/>
          <w:numId w:val="0"/>
        </w:numPr>
        <w:bidi w:val="0"/>
        <w:ind w:left="-1080"/>
        <w:jc w:val="left"/>
      </w:pPr>
      <w:bookmarkStart w:id="4" w:name="_Toc175655693"/>
      <w:r>
        <w:lastRenderedPageBreak/>
        <w:t xml:space="preserve">Appendix </w:t>
      </w:r>
      <w:r w:rsidR="006C0460">
        <w:t>C14.8</w:t>
      </w:r>
      <w:r>
        <w:t xml:space="preserve"> </w:t>
      </w:r>
      <w:r w:rsidR="003A2057">
        <w:t>–</w:t>
      </w:r>
      <w:r>
        <w:t xml:space="preserve"> R</w:t>
      </w:r>
      <w:r w:rsidR="006C0460">
        <w:t>ight of choice</w:t>
      </w:r>
      <w:bookmarkEnd w:id="4"/>
    </w:p>
    <w:p w14:paraId="70AA4E9B" w14:textId="77777777" w:rsidR="006C0460" w:rsidRPr="00881242" w:rsidRDefault="006C0460" w:rsidP="00AF6619">
      <w:pPr>
        <w:numPr>
          <w:ilvl w:val="0"/>
          <w:numId w:val="8"/>
        </w:numPr>
        <w:pBdr>
          <w:top w:val="nil"/>
          <w:left w:val="nil"/>
          <w:bottom w:val="nil"/>
          <w:right w:val="nil"/>
          <w:between w:val="nil"/>
        </w:pBdr>
        <w:spacing w:before="96" w:line="276" w:lineRule="auto"/>
        <w:ind w:left="-360"/>
        <w:jc w:val="both"/>
        <w:rPr>
          <w:color w:val="000000"/>
          <w:rtl/>
        </w:rPr>
      </w:pPr>
      <w:r>
        <w:rPr>
          <w:color w:val="000000"/>
        </w:rPr>
        <w:t>Pursuant to Section 3C(A) of the Mandatory Tenders Regulations 5753-1993 and subject to the approval of the Division’s Tenders Committee, the Division is allowed to exercise the options set forth in this appendix within the Tender.</w:t>
      </w:r>
    </w:p>
    <w:p w14:paraId="50968007" w14:textId="77777777" w:rsidR="006C0460" w:rsidRPr="00881242" w:rsidRDefault="006C0460" w:rsidP="00AF6619">
      <w:pPr>
        <w:numPr>
          <w:ilvl w:val="0"/>
          <w:numId w:val="8"/>
        </w:numPr>
        <w:pBdr>
          <w:top w:val="nil"/>
          <w:left w:val="nil"/>
          <w:bottom w:val="nil"/>
          <w:right w:val="nil"/>
          <w:between w:val="nil"/>
        </w:pBdr>
        <w:spacing w:before="96" w:line="276" w:lineRule="auto"/>
        <w:ind w:left="-360"/>
        <w:jc w:val="left"/>
        <w:rPr>
          <w:color w:val="000000"/>
          <w:rtl/>
        </w:rPr>
      </w:pPr>
      <w:r>
        <w:rPr>
          <w:color w:val="000000"/>
        </w:rPr>
        <w:t>The prices for exercising the options are included in the price offered by the supplier – for all elements defined as part of the required solution and priced in the tender documents.</w:t>
      </w:r>
      <w:r>
        <w:rPr>
          <w:color w:val="000000"/>
        </w:rPr>
        <w:br/>
        <w:t>For components that are not defined as part of the required solution, the supplier will quote an exercise price if and when requested to do so. And the final price will be determined consensually between the two parties.</w:t>
      </w:r>
    </w:p>
    <w:p w14:paraId="38BA5FCA" w14:textId="77777777" w:rsidR="006C0460" w:rsidRPr="00881242" w:rsidRDefault="006C0460" w:rsidP="00AF6619">
      <w:pPr>
        <w:numPr>
          <w:ilvl w:val="0"/>
          <w:numId w:val="8"/>
        </w:numPr>
        <w:pBdr>
          <w:top w:val="nil"/>
          <w:left w:val="nil"/>
          <w:bottom w:val="nil"/>
          <w:right w:val="nil"/>
          <w:between w:val="nil"/>
        </w:pBdr>
        <w:spacing w:before="96" w:line="276" w:lineRule="auto"/>
        <w:ind w:left="-360"/>
        <w:jc w:val="left"/>
        <w:rPr>
          <w:color w:val="000000"/>
          <w:rtl/>
        </w:rPr>
      </w:pPr>
      <w:r>
        <w:rPr>
          <w:color w:val="000000"/>
        </w:rPr>
        <w:t>The Division will be able at its sole discretion to purchase additional elements in accordance with this appendix or issue an additional procurement proceeding, at its sole discretion.</w:t>
      </w:r>
    </w:p>
    <w:p w14:paraId="60F99AA7" w14:textId="77777777" w:rsidR="006C0460" w:rsidRPr="00881242" w:rsidRDefault="006C0460" w:rsidP="00AF6619">
      <w:pPr>
        <w:numPr>
          <w:ilvl w:val="0"/>
          <w:numId w:val="8"/>
        </w:numPr>
        <w:pBdr>
          <w:top w:val="nil"/>
          <w:left w:val="nil"/>
          <w:bottom w:val="nil"/>
          <w:right w:val="nil"/>
          <w:between w:val="nil"/>
        </w:pBdr>
        <w:spacing w:before="96" w:line="276" w:lineRule="auto"/>
        <w:ind w:left="-360"/>
        <w:jc w:val="left"/>
        <w:rPr>
          <w:color w:val="000000"/>
          <w:rtl/>
        </w:rPr>
      </w:pPr>
      <w:r>
        <w:rPr>
          <w:color w:val="000000"/>
        </w:rPr>
        <w:t>The potential expansions of the tender include inter alia the following subjects (but are not limited to them):</w:t>
      </w:r>
    </w:p>
    <w:p w14:paraId="62AEE370" w14:textId="77777777" w:rsidR="006C0460" w:rsidRPr="00881242" w:rsidRDefault="006C0460" w:rsidP="00AF6619">
      <w:pPr>
        <w:pStyle w:val="ListParagraph"/>
        <w:numPr>
          <w:ilvl w:val="1"/>
          <w:numId w:val="10"/>
        </w:numPr>
        <w:pBdr>
          <w:top w:val="nil"/>
          <w:left w:val="nil"/>
          <w:bottom w:val="nil"/>
          <w:right w:val="nil"/>
          <w:between w:val="nil"/>
        </w:pBdr>
        <w:spacing w:before="96" w:line="276" w:lineRule="auto"/>
        <w:ind w:left="90"/>
        <w:jc w:val="both"/>
        <w:rPr>
          <w:color w:val="000000"/>
          <w:rtl/>
        </w:rPr>
      </w:pPr>
      <w:r>
        <w:rPr>
          <w:color w:val="000000"/>
        </w:rPr>
        <w:t>Addition of laboratories at a medical center up to 30% each year</w:t>
      </w:r>
    </w:p>
    <w:p w14:paraId="6A5839AB" w14:textId="77777777" w:rsidR="006C0460" w:rsidRPr="00881242" w:rsidRDefault="006C0460" w:rsidP="00AF6619">
      <w:pPr>
        <w:pStyle w:val="ListParagraph"/>
        <w:numPr>
          <w:ilvl w:val="1"/>
          <w:numId w:val="10"/>
        </w:numPr>
        <w:pBdr>
          <w:top w:val="nil"/>
          <w:left w:val="nil"/>
          <w:bottom w:val="nil"/>
          <w:right w:val="nil"/>
          <w:between w:val="nil"/>
        </w:pBdr>
        <w:spacing w:before="96" w:line="276" w:lineRule="auto"/>
        <w:ind w:left="90"/>
        <w:jc w:val="both"/>
        <w:rPr>
          <w:color w:val="000000"/>
          <w:rtl/>
        </w:rPr>
      </w:pPr>
      <w:r>
        <w:rPr>
          <w:color w:val="000000"/>
        </w:rPr>
        <w:t>Addition of medical centers and their branches up to 15% each year</w:t>
      </w:r>
    </w:p>
    <w:p w14:paraId="55A94A3C" w14:textId="77777777" w:rsidR="006C0460" w:rsidRPr="00881242" w:rsidRDefault="006C0460" w:rsidP="00AF6619">
      <w:pPr>
        <w:pStyle w:val="ListParagraph"/>
        <w:numPr>
          <w:ilvl w:val="1"/>
          <w:numId w:val="10"/>
        </w:numPr>
        <w:pBdr>
          <w:top w:val="nil"/>
          <w:left w:val="nil"/>
          <w:bottom w:val="nil"/>
          <w:right w:val="nil"/>
          <w:between w:val="nil"/>
        </w:pBdr>
        <w:spacing w:before="96" w:line="276" w:lineRule="auto"/>
        <w:ind w:left="90"/>
        <w:jc w:val="both"/>
        <w:rPr>
          <w:color w:val="000000"/>
          <w:rtl/>
        </w:rPr>
      </w:pPr>
      <w:r>
        <w:rPr>
          <w:color w:val="000000"/>
        </w:rPr>
        <w:t>Addition of hours for modifications and improvements, up to 100% each year.</w:t>
      </w:r>
    </w:p>
    <w:p w14:paraId="5A91B5F7" w14:textId="6FBFF226" w:rsidR="006C0460" w:rsidRPr="00881242" w:rsidRDefault="006C0460" w:rsidP="00AF6619">
      <w:pPr>
        <w:pStyle w:val="ListParagraph"/>
        <w:numPr>
          <w:ilvl w:val="0"/>
          <w:numId w:val="0"/>
        </w:numPr>
        <w:pBdr>
          <w:top w:val="nil"/>
          <w:left w:val="nil"/>
          <w:bottom w:val="nil"/>
          <w:right w:val="nil"/>
          <w:between w:val="nil"/>
        </w:pBdr>
        <w:spacing w:before="96" w:line="276" w:lineRule="auto"/>
        <w:ind w:left="90"/>
        <w:jc w:val="both"/>
        <w:rPr>
          <w:color w:val="000000"/>
          <w:rtl/>
        </w:rPr>
      </w:pPr>
      <w:r>
        <w:rPr>
          <w:color w:val="000000"/>
        </w:rPr>
        <w:t xml:space="preserve">In the first year as set forth in </w:t>
      </w:r>
      <w:r w:rsidRPr="00533578">
        <w:rPr>
          <w:color w:val="000000"/>
        </w:rPr>
        <w:t>Section 30.</w:t>
      </w:r>
      <w:r w:rsidR="00533578" w:rsidRPr="00533578">
        <w:rPr>
          <w:color w:val="000000"/>
        </w:rPr>
        <w:t>2.7</w:t>
      </w:r>
      <w:r w:rsidRPr="00533578">
        <w:rPr>
          <w:color w:val="000000"/>
        </w:rPr>
        <w:t>.3</w:t>
      </w:r>
      <w:r w:rsidR="00AF6619">
        <w:rPr>
          <w:color w:val="000000"/>
        </w:rPr>
        <w:t xml:space="preserve"> (part C)</w:t>
      </w:r>
      <w:r w:rsidR="00533578">
        <w:rPr>
          <w:color w:val="000000"/>
        </w:rPr>
        <w:t>.</w:t>
      </w:r>
    </w:p>
    <w:p w14:paraId="22FE9A3A" w14:textId="77777777" w:rsidR="006C0460" w:rsidRPr="00881242" w:rsidRDefault="006C0460" w:rsidP="00AF6619">
      <w:pPr>
        <w:pStyle w:val="ListParagraph"/>
        <w:numPr>
          <w:ilvl w:val="1"/>
          <w:numId w:val="10"/>
        </w:numPr>
        <w:pBdr>
          <w:top w:val="nil"/>
          <w:left w:val="nil"/>
          <w:bottom w:val="nil"/>
          <w:right w:val="nil"/>
          <w:between w:val="nil"/>
        </w:pBdr>
        <w:spacing w:before="96" w:line="276" w:lineRule="auto"/>
        <w:ind w:left="90"/>
        <w:jc w:val="both"/>
        <w:rPr>
          <w:color w:val="000000"/>
          <w:rtl/>
        </w:rPr>
      </w:pPr>
      <w:r>
        <w:rPr>
          <w:color w:val="000000"/>
        </w:rPr>
        <w:t>Additions for development of drivers and installations according to the requirement of the Division up to 100% each year.</w:t>
      </w:r>
    </w:p>
    <w:p w14:paraId="1C6F6037" w14:textId="6585F4C7" w:rsidR="006C0460" w:rsidRPr="00881242" w:rsidRDefault="006C0460" w:rsidP="00AF6619">
      <w:pPr>
        <w:pStyle w:val="ListParagraph"/>
        <w:numPr>
          <w:ilvl w:val="0"/>
          <w:numId w:val="0"/>
        </w:numPr>
        <w:pBdr>
          <w:top w:val="nil"/>
          <w:left w:val="nil"/>
          <w:bottom w:val="nil"/>
          <w:right w:val="nil"/>
          <w:between w:val="nil"/>
        </w:pBdr>
        <w:spacing w:before="96" w:line="276" w:lineRule="auto"/>
        <w:ind w:left="90"/>
        <w:jc w:val="both"/>
        <w:rPr>
          <w:color w:val="000000"/>
          <w:rtl/>
        </w:rPr>
      </w:pPr>
      <w:r>
        <w:rPr>
          <w:color w:val="000000"/>
        </w:rPr>
        <w:t xml:space="preserve">In the first year as set forth in </w:t>
      </w:r>
      <w:r w:rsidR="00533578">
        <w:rPr>
          <w:color w:val="000000"/>
        </w:rPr>
        <w:t xml:space="preserve">30.2.8 </w:t>
      </w:r>
      <w:r w:rsidR="00AF6619">
        <w:rPr>
          <w:color w:val="000000"/>
        </w:rPr>
        <w:t>(part C)</w:t>
      </w:r>
      <w:r w:rsidR="00533578">
        <w:rPr>
          <w:color w:val="000000"/>
        </w:rPr>
        <w:t>.</w:t>
      </w:r>
    </w:p>
    <w:p w14:paraId="77CAD9D8" w14:textId="77777777" w:rsidR="006C0460" w:rsidRPr="00881242" w:rsidRDefault="006C0460" w:rsidP="00AF6619">
      <w:pPr>
        <w:numPr>
          <w:ilvl w:val="0"/>
          <w:numId w:val="8"/>
        </w:numPr>
        <w:pBdr>
          <w:top w:val="nil"/>
          <w:left w:val="nil"/>
          <w:bottom w:val="nil"/>
          <w:right w:val="nil"/>
          <w:between w:val="nil"/>
        </w:pBdr>
        <w:spacing w:before="96" w:line="276" w:lineRule="auto"/>
        <w:ind w:left="-360"/>
        <w:jc w:val="left"/>
        <w:rPr>
          <w:color w:val="000000"/>
          <w:rtl/>
        </w:rPr>
      </w:pPr>
      <w:r>
        <w:rPr>
          <w:color w:val="000000"/>
        </w:rPr>
        <w:t>Future technologies</w:t>
      </w:r>
    </w:p>
    <w:p w14:paraId="3C1438B1" w14:textId="77777777" w:rsidR="006C0460" w:rsidRPr="00881242" w:rsidRDefault="006C0460" w:rsidP="00AF6619">
      <w:pPr>
        <w:pStyle w:val="ListParagraph"/>
        <w:numPr>
          <w:ilvl w:val="0"/>
          <w:numId w:val="12"/>
        </w:numPr>
        <w:pBdr>
          <w:top w:val="nil"/>
          <w:left w:val="nil"/>
          <w:bottom w:val="nil"/>
          <w:right w:val="nil"/>
          <w:between w:val="nil"/>
        </w:pBdr>
        <w:spacing w:before="96" w:line="276" w:lineRule="auto"/>
        <w:ind w:left="90"/>
        <w:jc w:val="both"/>
        <w:rPr>
          <w:color w:val="000000"/>
          <w:rtl/>
        </w:rPr>
      </w:pPr>
      <w:r>
        <w:rPr>
          <w:color w:val="000000"/>
        </w:rPr>
        <w:t>Adding a product or service as a result of technological changes</w:t>
      </w:r>
    </w:p>
    <w:p w14:paraId="6ECFB6A4" w14:textId="77777777" w:rsidR="006C0460" w:rsidRPr="00881242" w:rsidRDefault="006C0460" w:rsidP="00AF6619">
      <w:pPr>
        <w:numPr>
          <w:ilvl w:val="0"/>
          <w:numId w:val="7"/>
        </w:numPr>
        <w:pBdr>
          <w:top w:val="nil"/>
          <w:left w:val="nil"/>
          <w:bottom w:val="nil"/>
          <w:right w:val="nil"/>
          <w:between w:val="nil"/>
        </w:pBdr>
        <w:ind w:left="450"/>
        <w:jc w:val="left"/>
        <w:rPr>
          <w:color w:val="000000"/>
          <w:rtl/>
        </w:rPr>
      </w:pPr>
      <w:r>
        <w:rPr>
          <w:color w:val="000000"/>
        </w:rPr>
        <w:t>In any case of technological changes that have an effect on the services provided according to this tender, the Division is allowed to request from the supplier a new product or new service or update of an existing service, based on the new technology.</w:t>
      </w:r>
    </w:p>
    <w:p w14:paraId="319E9156" w14:textId="77777777" w:rsidR="006C0460" w:rsidRPr="00881242" w:rsidRDefault="006C0460" w:rsidP="00AF6619">
      <w:pPr>
        <w:numPr>
          <w:ilvl w:val="0"/>
          <w:numId w:val="7"/>
        </w:numPr>
        <w:pBdr>
          <w:top w:val="nil"/>
          <w:left w:val="nil"/>
          <w:bottom w:val="nil"/>
          <w:right w:val="nil"/>
          <w:between w:val="nil"/>
        </w:pBdr>
        <w:ind w:left="450"/>
        <w:jc w:val="left"/>
        <w:rPr>
          <w:color w:val="000000"/>
          <w:rtl/>
        </w:rPr>
      </w:pPr>
      <w:r>
        <w:rPr>
          <w:color w:val="000000"/>
        </w:rPr>
        <w:t xml:space="preserve">For examining the new technology for the purposes of the Division and adapting it to the services provided according to the tender, the Division is allowed to </w:t>
      </w:r>
      <w:r>
        <w:rPr>
          <w:color w:val="000000"/>
        </w:rPr>
        <w:lastRenderedPageBreak/>
        <w:t>order from the supplier demonstrations, pilots, test environments, etc., and expert hours, from a bank of consultation hours existing in the tender.</w:t>
      </w:r>
    </w:p>
    <w:p w14:paraId="2B3A6F7A" w14:textId="77777777" w:rsidR="006C0460" w:rsidRPr="00881242" w:rsidRDefault="006C0460" w:rsidP="00AF6619">
      <w:pPr>
        <w:numPr>
          <w:ilvl w:val="0"/>
          <w:numId w:val="7"/>
        </w:numPr>
        <w:pBdr>
          <w:top w:val="nil"/>
          <w:left w:val="nil"/>
          <w:bottom w:val="nil"/>
          <w:right w:val="nil"/>
          <w:between w:val="nil"/>
        </w:pBdr>
        <w:ind w:left="450"/>
        <w:jc w:val="left"/>
        <w:rPr>
          <w:color w:val="000000"/>
          <w:rtl/>
        </w:rPr>
      </w:pPr>
      <w:r>
        <w:rPr>
          <w:color w:val="000000"/>
        </w:rPr>
        <w:t>A procedure for adding or updating a service will be as follows:</w:t>
      </w:r>
    </w:p>
    <w:p w14:paraId="7BD36FFC" w14:textId="77777777" w:rsidR="006C0460" w:rsidRPr="00881242" w:rsidRDefault="006C0460" w:rsidP="00AF6619">
      <w:pPr>
        <w:keepNext/>
        <w:numPr>
          <w:ilvl w:val="0"/>
          <w:numId w:val="9"/>
        </w:numPr>
        <w:pBdr>
          <w:top w:val="nil"/>
          <w:left w:val="nil"/>
          <w:bottom w:val="nil"/>
          <w:right w:val="nil"/>
          <w:between w:val="nil"/>
        </w:pBdr>
        <w:ind w:left="810"/>
        <w:jc w:val="left"/>
        <w:rPr>
          <w:color w:val="000000"/>
          <w:rtl/>
        </w:rPr>
      </w:pPr>
      <w:r>
        <w:rPr>
          <w:color w:val="000000"/>
        </w:rPr>
        <w:t>At the request of the Division, the supplier will submit a price quotation for the new product or new service or the updated service. The Division, at its sole discretion, is allowed to let the supplier subcontract for submitting the bid.</w:t>
      </w:r>
    </w:p>
    <w:p w14:paraId="797C207D" w14:textId="22494305" w:rsidR="006C0460" w:rsidRPr="00881242" w:rsidRDefault="006C0460" w:rsidP="00AF6619">
      <w:pPr>
        <w:keepNext/>
        <w:numPr>
          <w:ilvl w:val="0"/>
          <w:numId w:val="9"/>
        </w:numPr>
        <w:pBdr>
          <w:top w:val="nil"/>
          <w:left w:val="nil"/>
          <w:bottom w:val="nil"/>
          <w:right w:val="nil"/>
          <w:between w:val="nil"/>
        </w:pBdr>
        <w:ind w:left="810"/>
        <w:jc w:val="left"/>
        <w:rPr>
          <w:color w:val="000000"/>
          <w:rtl/>
        </w:rPr>
      </w:pPr>
      <w:r>
        <w:rPr>
          <w:color w:val="000000"/>
        </w:rPr>
        <w:t xml:space="preserve">The Division will choose an independent advisor whose function will be to evaluate the service. To this end, the advisor will examine the bid in financial, technological and in any other respects that may provide the Ministry the best tools to decide whether the bid meets the needs of the </w:t>
      </w:r>
      <w:r w:rsidR="00167A02">
        <w:rPr>
          <w:color w:val="000000"/>
        </w:rPr>
        <w:t>Division,</w:t>
      </w:r>
      <w:r>
        <w:rPr>
          <w:color w:val="000000"/>
        </w:rPr>
        <w:t xml:space="preserve"> and the services provided under the tender.</w:t>
      </w:r>
    </w:p>
    <w:p w14:paraId="29F744B0" w14:textId="77777777" w:rsidR="006C0460" w:rsidRPr="00881242" w:rsidRDefault="006C0460" w:rsidP="00AF6619">
      <w:pPr>
        <w:keepNext/>
        <w:numPr>
          <w:ilvl w:val="0"/>
          <w:numId w:val="9"/>
        </w:numPr>
        <w:pBdr>
          <w:top w:val="nil"/>
          <w:left w:val="nil"/>
          <w:bottom w:val="nil"/>
          <w:right w:val="nil"/>
          <w:between w:val="nil"/>
        </w:pBdr>
        <w:ind w:left="810"/>
        <w:jc w:val="left"/>
        <w:rPr>
          <w:color w:val="000000"/>
          <w:rtl/>
        </w:rPr>
      </w:pPr>
      <w:r>
        <w:rPr>
          <w:color w:val="000000"/>
        </w:rPr>
        <w:t>If the supplier does not forward a bid or its bid is not approved by the advisor, the Division will be allowed to request additional bids from other bidders. The supplier undertakes to cooperate with any other bidder that will be chosen by the Division to provide the new service or updated service.</w:t>
      </w:r>
    </w:p>
    <w:p w14:paraId="0E12CF5C" w14:textId="77777777" w:rsidR="006C0460" w:rsidRPr="00881242" w:rsidRDefault="006C0460" w:rsidP="00AF6619">
      <w:pPr>
        <w:numPr>
          <w:ilvl w:val="0"/>
          <w:numId w:val="7"/>
        </w:numPr>
        <w:pBdr>
          <w:top w:val="nil"/>
          <w:left w:val="nil"/>
          <w:bottom w:val="nil"/>
          <w:right w:val="nil"/>
          <w:between w:val="nil"/>
        </w:pBdr>
        <w:ind w:left="450"/>
        <w:jc w:val="left"/>
        <w:rPr>
          <w:color w:val="000000"/>
          <w:rtl/>
        </w:rPr>
      </w:pPr>
      <w:r>
        <w:rPr>
          <w:color w:val="000000"/>
        </w:rPr>
        <w:t>In any case of adding a new product or new service or updating an existing service, the Division is allowed to add to the service level agreement (SLA) additional requirements, in accordance with the character and nature of the new or updated service.</w:t>
      </w:r>
    </w:p>
    <w:p w14:paraId="430A3983" w14:textId="6289AA0A" w:rsidR="006C0460" w:rsidRPr="00AF6619" w:rsidRDefault="006C0460" w:rsidP="00AF6619">
      <w:pPr>
        <w:numPr>
          <w:ilvl w:val="0"/>
          <w:numId w:val="7"/>
        </w:numPr>
        <w:pBdr>
          <w:top w:val="nil"/>
          <w:left w:val="nil"/>
          <w:bottom w:val="nil"/>
          <w:right w:val="nil"/>
          <w:between w:val="nil"/>
        </w:pBdr>
        <w:ind w:left="450"/>
        <w:jc w:val="left"/>
        <w:rPr>
          <w:color w:val="000000"/>
        </w:rPr>
      </w:pPr>
      <w:r>
        <w:rPr>
          <w:color w:val="000000"/>
        </w:rPr>
        <w:t>If the Division has chosen to extend the engagement period, in accordance with the contract (appendix 0.8.2 to the tender), the extension of the engagement will also include the new product or the new or updated service.</w:t>
      </w:r>
    </w:p>
    <w:p w14:paraId="7A4D262A" w14:textId="77777777" w:rsidR="006C0460" w:rsidRPr="009056BB" w:rsidRDefault="006C0460" w:rsidP="00AF6619">
      <w:pPr>
        <w:numPr>
          <w:ilvl w:val="0"/>
          <w:numId w:val="7"/>
        </w:numPr>
        <w:pBdr>
          <w:top w:val="nil"/>
          <w:left w:val="nil"/>
          <w:bottom w:val="nil"/>
          <w:right w:val="nil"/>
          <w:between w:val="nil"/>
        </w:pBdr>
        <w:ind w:left="450"/>
        <w:jc w:val="left"/>
        <w:rPr>
          <w:color w:val="000000"/>
        </w:rPr>
      </w:pPr>
      <w:r>
        <w:rPr>
          <w:color w:val="000000"/>
        </w:rPr>
        <w:t>It is clarified that adding medical instrumentation for which the supplier already has an interface will be managed as set forth in Section 24.13 of the tender.</w:t>
      </w:r>
    </w:p>
    <w:p w14:paraId="21069685" w14:textId="77777777" w:rsidR="006C0460" w:rsidRPr="00AF6619" w:rsidRDefault="006C0460" w:rsidP="00AF6619">
      <w:pPr>
        <w:numPr>
          <w:ilvl w:val="0"/>
          <w:numId w:val="0"/>
        </w:numPr>
        <w:pBdr>
          <w:top w:val="nil"/>
          <w:left w:val="nil"/>
          <w:bottom w:val="nil"/>
          <w:right w:val="nil"/>
          <w:between w:val="nil"/>
        </w:pBdr>
        <w:spacing w:before="96" w:line="276" w:lineRule="auto"/>
        <w:ind w:left="6480"/>
        <w:jc w:val="both"/>
        <w:rPr>
          <w:color w:val="000000"/>
        </w:rPr>
      </w:pPr>
    </w:p>
    <w:p w14:paraId="4673A44D" w14:textId="77777777" w:rsidR="006C0460" w:rsidRDefault="006C0460" w:rsidP="006C0460">
      <w:pPr>
        <w:pStyle w:val="1"/>
        <w:numPr>
          <w:ilvl w:val="0"/>
          <w:numId w:val="0"/>
        </w:numPr>
        <w:bidi w:val="0"/>
        <w:ind w:left="-1080"/>
        <w:jc w:val="left"/>
      </w:pPr>
    </w:p>
    <w:p w14:paraId="0946D9FF" w14:textId="77777777" w:rsidR="006C0460" w:rsidRDefault="006C0460" w:rsidP="00BF53E4">
      <w:pPr>
        <w:pStyle w:val="1"/>
        <w:numPr>
          <w:ilvl w:val="0"/>
          <w:numId w:val="0"/>
        </w:numPr>
        <w:bidi w:val="0"/>
        <w:jc w:val="left"/>
      </w:pPr>
      <w:bookmarkStart w:id="5" w:name="_Toc175655694"/>
      <w:r>
        <w:lastRenderedPageBreak/>
        <w:t>Appendix C17.11 – Reports</w:t>
      </w:r>
      <w:bookmarkEnd w:id="5"/>
    </w:p>
    <w:p w14:paraId="5B96A515" w14:textId="77777777" w:rsidR="003A2057" w:rsidRDefault="003A2057" w:rsidP="005B6F56">
      <w:pPr>
        <w:pStyle w:val="1"/>
        <w:numPr>
          <w:ilvl w:val="0"/>
          <w:numId w:val="0"/>
        </w:numPr>
        <w:bidi w:val="0"/>
        <w:ind w:left="-1080"/>
        <w:jc w:val="left"/>
      </w:pPr>
    </w:p>
    <w:p w14:paraId="75CD8740" w14:textId="77777777" w:rsidR="003A2057" w:rsidRPr="00786D07" w:rsidRDefault="003A2057" w:rsidP="005B6F56">
      <w:pPr>
        <w:numPr>
          <w:ilvl w:val="0"/>
          <w:numId w:val="0"/>
        </w:numPr>
        <w:ind w:left="-1080"/>
        <w:jc w:val="left"/>
        <w:rPr>
          <w:rFonts w:ascii="Times New Roman" w:hAnsi="Times New Roman"/>
          <w:b/>
          <w:bCs/>
          <w:u w:val="single"/>
        </w:rPr>
      </w:pPr>
      <w:r w:rsidRPr="00786D07">
        <w:rPr>
          <w:rFonts w:ascii="Times New Roman" w:hAnsi="Times New Roman"/>
          <w:b/>
          <w:bCs/>
          <w:u w:val="single"/>
        </w:rPr>
        <w:t>Barzilai</w:t>
      </w:r>
      <w:r w:rsidRPr="00786D07">
        <w:rPr>
          <w:rFonts w:ascii="Times New Roman" w:hAnsi="Times New Roman" w:hint="cs"/>
          <w:b/>
          <w:bCs/>
          <w:u w:val="single"/>
          <w:rtl/>
        </w:rPr>
        <w:t xml:space="preserve"> </w:t>
      </w:r>
      <w:r w:rsidRPr="00786D07">
        <w:rPr>
          <w:rFonts w:ascii="Times New Roman" w:hAnsi="Times New Roman"/>
          <w:b/>
          <w:bCs/>
          <w:u w:val="single"/>
        </w:rPr>
        <w:t>Medical center</w:t>
      </w:r>
    </w:p>
    <w:tbl>
      <w:tblPr>
        <w:tblW w:w="5802" w:type="dxa"/>
        <w:tblLook w:val="04A0" w:firstRow="1" w:lastRow="0" w:firstColumn="1" w:lastColumn="0" w:noHBand="0" w:noVBand="1"/>
      </w:tblPr>
      <w:tblGrid>
        <w:gridCol w:w="3020"/>
        <w:gridCol w:w="2560"/>
        <w:gridCol w:w="222"/>
      </w:tblGrid>
      <w:tr w:rsidR="003A2057" w:rsidRPr="00786D07" w14:paraId="3FF53767" w14:textId="77777777" w:rsidTr="00B7589C">
        <w:trPr>
          <w:gridAfter w:val="2"/>
          <w:wAfter w:w="2782" w:type="dxa"/>
          <w:trHeight w:val="285"/>
        </w:trPr>
        <w:tc>
          <w:tcPr>
            <w:tcW w:w="3020" w:type="dxa"/>
            <w:tcBorders>
              <w:top w:val="nil"/>
              <w:left w:val="nil"/>
              <w:bottom w:val="nil"/>
              <w:right w:val="nil"/>
            </w:tcBorders>
            <w:shd w:val="clear" w:color="000000" w:fill="FFFF00"/>
            <w:noWrap/>
            <w:vAlign w:val="bottom"/>
            <w:hideMark/>
          </w:tcPr>
          <w:p w14:paraId="68CA9CFB" w14:textId="77777777" w:rsidR="003A2057" w:rsidRPr="00167A02" w:rsidRDefault="003A2057" w:rsidP="00B7589C">
            <w:pPr>
              <w:numPr>
                <w:ilvl w:val="0"/>
                <w:numId w:val="0"/>
              </w:numPr>
              <w:spacing w:line="240" w:lineRule="auto"/>
              <w:ind w:left="345"/>
              <w:jc w:val="left"/>
              <w:rPr>
                <w:rFonts w:ascii="Times New Roman" w:eastAsia="Times New Roman" w:hAnsi="Times New Roman" w:cs="Arial"/>
                <w14:ligatures w14:val="none"/>
              </w:rPr>
            </w:pPr>
            <w:r w:rsidRPr="00167A02">
              <w:rPr>
                <w:rFonts w:ascii="Times New Roman" w:eastAsia="Times New Roman" w:hAnsi="Times New Roman" w:cs="Arial"/>
                <w14:ligatures w14:val="none"/>
              </w:rPr>
              <w:t xml:space="preserve">The blood bank </w:t>
            </w:r>
          </w:p>
        </w:tc>
      </w:tr>
      <w:tr w:rsidR="003A2057" w:rsidRPr="00786D07" w14:paraId="7272FCD8" w14:textId="77777777" w:rsidTr="00B7589C">
        <w:trPr>
          <w:gridAfter w:val="2"/>
          <w:wAfter w:w="2782" w:type="dxa"/>
          <w:trHeight w:val="285"/>
        </w:trPr>
        <w:tc>
          <w:tcPr>
            <w:tcW w:w="3020" w:type="dxa"/>
            <w:tcBorders>
              <w:top w:val="single" w:sz="4" w:space="0" w:color="auto"/>
              <w:left w:val="single" w:sz="4" w:space="0" w:color="auto"/>
              <w:bottom w:val="single" w:sz="4" w:space="0" w:color="auto"/>
              <w:right w:val="single" w:sz="4" w:space="0" w:color="auto"/>
            </w:tcBorders>
            <w:shd w:val="clear" w:color="000000" w:fill="D6DCE4"/>
            <w:vAlign w:val="center"/>
            <w:hideMark/>
          </w:tcPr>
          <w:p w14:paraId="3D5B4BAD"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Name of the report</w:t>
            </w:r>
          </w:p>
        </w:tc>
      </w:tr>
      <w:tr w:rsidR="003A2057" w:rsidRPr="00786D07" w14:paraId="773224F6"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vAlign w:val="center"/>
            <w:hideMark/>
          </w:tcPr>
          <w:p w14:paraId="405AD1DF"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High transfusion subjects</w:t>
            </w:r>
          </w:p>
        </w:tc>
      </w:tr>
      <w:tr w:rsidR="003A2057" w:rsidRPr="00786D07" w14:paraId="57627DFE"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vAlign w:val="center"/>
            <w:hideMark/>
          </w:tcPr>
          <w:p w14:paraId="59C0E01C"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General samples</w:t>
            </w:r>
          </w:p>
        </w:tc>
      </w:tr>
      <w:tr w:rsidR="003A2057" w:rsidRPr="00786D07" w14:paraId="2319D7FE"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vAlign w:val="center"/>
            <w:hideMark/>
          </w:tcPr>
          <w:p w14:paraId="788861B8"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Dispensed units</w:t>
            </w:r>
          </w:p>
        </w:tc>
      </w:tr>
      <w:tr w:rsidR="003A2057" w:rsidRPr="00786D07" w14:paraId="11D07A94"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vAlign w:val="center"/>
            <w:hideMark/>
          </w:tcPr>
          <w:p w14:paraId="317FE066"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Summary of treatments for products</w:t>
            </w:r>
          </w:p>
        </w:tc>
      </w:tr>
      <w:tr w:rsidR="003A2057" w:rsidRPr="00786D07" w14:paraId="148179D0"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vAlign w:val="center"/>
            <w:hideMark/>
          </w:tcPr>
          <w:p w14:paraId="05FB4B39"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Tests</w:t>
            </w:r>
          </w:p>
        </w:tc>
      </w:tr>
      <w:tr w:rsidR="003A2057" w:rsidRPr="00786D07" w14:paraId="779BECB1"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vAlign w:val="center"/>
            <w:hideMark/>
          </w:tcPr>
          <w:p w14:paraId="462AEB91"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Daily samples log</w:t>
            </w:r>
          </w:p>
        </w:tc>
      </w:tr>
      <w:tr w:rsidR="003A2057" w:rsidRPr="00786D07" w14:paraId="72838F89" w14:textId="77777777" w:rsidTr="00B7589C">
        <w:trPr>
          <w:gridAfter w:val="2"/>
          <w:wAfter w:w="2782" w:type="dxa"/>
          <w:trHeight w:val="285"/>
        </w:trPr>
        <w:tc>
          <w:tcPr>
            <w:tcW w:w="3020" w:type="dxa"/>
            <w:tcBorders>
              <w:top w:val="nil"/>
              <w:left w:val="nil"/>
              <w:bottom w:val="nil"/>
              <w:right w:val="nil"/>
            </w:tcBorders>
            <w:shd w:val="clear" w:color="auto" w:fill="auto"/>
            <w:noWrap/>
            <w:vAlign w:val="bottom"/>
            <w:hideMark/>
          </w:tcPr>
          <w:p w14:paraId="33D44C65"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p>
        </w:tc>
      </w:tr>
      <w:tr w:rsidR="003A2057" w:rsidRPr="00786D07" w14:paraId="2B3A14ED" w14:textId="77777777" w:rsidTr="00B7589C">
        <w:trPr>
          <w:gridAfter w:val="2"/>
          <w:wAfter w:w="2782" w:type="dxa"/>
          <w:trHeight w:val="285"/>
        </w:trPr>
        <w:tc>
          <w:tcPr>
            <w:tcW w:w="3020" w:type="dxa"/>
            <w:tcBorders>
              <w:top w:val="nil"/>
              <w:left w:val="nil"/>
              <w:bottom w:val="nil"/>
              <w:right w:val="nil"/>
            </w:tcBorders>
            <w:shd w:val="clear" w:color="auto" w:fill="auto"/>
            <w:noWrap/>
            <w:vAlign w:val="bottom"/>
            <w:hideMark/>
          </w:tcPr>
          <w:p w14:paraId="3C267A99" w14:textId="77777777" w:rsidR="003A2057" w:rsidRPr="00786D07" w:rsidRDefault="003A2057" w:rsidP="00B7589C">
            <w:pPr>
              <w:numPr>
                <w:ilvl w:val="0"/>
                <w:numId w:val="0"/>
              </w:numPr>
              <w:spacing w:line="240" w:lineRule="auto"/>
              <w:ind w:left="345"/>
              <w:jc w:val="left"/>
              <w:rPr>
                <w:rFonts w:ascii="Times New Roman" w:eastAsia="Times New Roman" w:hAnsi="Times New Roman" w:cs="Times New Roman"/>
                <w:sz w:val="20"/>
                <w:szCs w:val="20"/>
                <w14:ligatures w14:val="none"/>
              </w:rPr>
            </w:pPr>
          </w:p>
        </w:tc>
      </w:tr>
      <w:tr w:rsidR="003A2057" w:rsidRPr="00786D07" w14:paraId="664A6D3B" w14:textId="77777777" w:rsidTr="00B7589C">
        <w:trPr>
          <w:gridAfter w:val="2"/>
          <w:wAfter w:w="2782" w:type="dxa"/>
          <w:trHeight w:val="285"/>
        </w:trPr>
        <w:tc>
          <w:tcPr>
            <w:tcW w:w="3020" w:type="dxa"/>
            <w:tcBorders>
              <w:top w:val="nil"/>
              <w:left w:val="nil"/>
              <w:bottom w:val="nil"/>
              <w:right w:val="nil"/>
            </w:tcBorders>
            <w:shd w:val="clear" w:color="000000" w:fill="FFFF00"/>
            <w:vAlign w:val="center"/>
            <w:hideMark/>
          </w:tcPr>
          <w:p w14:paraId="6E419DAA"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 xml:space="preserve">Recently used reports </w:t>
            </w:r>
          </w:p>
        </w:tc>
      </w:tr>
      <w:tr w:rsidR="003A2057" w:rsidRPr="00786D07" w14:paraId="40CDE99A" w14:textId="77777777" w:rsidTr="00B7589C">
        <w:trPr>
          <w:gridAfter w:val="2"/>
          <w:wAfter w:w="2782" w:type="dxa"/>
          <w:trHeight w:val="285"/>
        </w:trPr>
        <w:tc>
          <w:tcPr>
            <w:tcW w:w="3020" w:type="dxa"/>
            <w:tcBorders>
              <w:top w:val="single" w:sz="4" w:space="0" w:color="auto"/>
              <w:left w:val="single" w:sz="4" w:space="0" w:color="auto"/>
              <w:bottom w:val="single" w:sz="4" w:space="0" w:color="auto"/>
              <w:right w:val="single" w:sz="4" w:space="0" w:color="auto"/>
            </w:tcBorders>
            <w:shd w:val="clear" w:color="000000" w:fill="D6DCE4"/>
            <w:vAlign w:val="center"/>
            <w:hideMark/>
          </w:tcPr>
          <w:p w14:paraId="504D4E9E"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Name of the report</w:t>
            </w:r>
          </w:p>
        </w:tc>
      </w:tr>
      <w:tr w:rsidR="003A2057" w:rsidRPr="00786D07" w14:paraId="08B28ABB"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687897E"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Work statistics</w:t>
            </w:r>
          </w:p>
        </w:tc>
      </w:tr>
      <w:tr w:rsidR="003A2057" w:rsidRPr="00786D07" w14:paraId="20344863"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480E740"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Laboratory test results report</w:t>
            </w:r>
          </w:p>
        </w:tc>
      </w:tr>
      <w:tr w:rsidR="003A2057" w:rsidRPr="00786D07" w14:paraId="24C00CB1"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0C9B20B"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Subject results and antibodies</w:t>
            </w:r>
          </w:p>
        </w:tc>
      </w:tr>
      <w:tr w:rsidR="003A2057" w:rsidRPr="00786D07" w14:paraId="63437C6D"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6B39AB8"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Work list report - samples</w:t>
            </w:r>
          </w:p>
        </w:tc>
      </w:tr>
      <w:tr w:rsidR="003A2057" w:rsidRPr="00786D07" w14:paraId="15644DDF"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F095DE8"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Transfusion Reaction Report</w:t>
            </w:r>
          </w:p>
        </w:tc>
      </w:tr>
      <w:tr w:rsidR="003A2057" w:rsidRPr="00786D07" w14:paraId="223B0210"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40C2D84"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Performance times (pathology - statistical)</w:t>
            </w:r>
          </w:p>
        </w:tc>
      </w:tr>
      <w:tr w:rsidR="003A2057" w:rsidRPr="00786D07" w14:paraId="1E6E74A8"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CCAE2DF"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Positive answers report</w:t>
            </w:r>
          </w:p>
        </w:tc>
      </w:tr>
      <w:tr w:rsidR="003A2057" w:rsidRPr="00786D07" w14:paraId="17345639"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E7E1D3D"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Tests by subjects</w:t>
            </w:r>
          </w:p>
        </w:tc>
      </w:tr>
      <w:tr w:rsidR="003A2057" w:rsidRPr="00786D07" w14:paraId="21AE450E"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DDC90DD"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General samples</w:t>
            </w:r>
          </w:p>
        </w:tc>
      </w:tr>
      <w:tr w:rsidR="003A2057" w:rsidRPr="00786D07" w14:paraId="3983D87B"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59BEA9A"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Instruments statistics</w:t>
            </w:r>
          </w:p>
        </w:tc>
      </w:tr>
      <w:tr w:rsidR="003A2057" w:rsidRPr="00786D07" w14:paraId="42DF92B2"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214CBEA"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Subjects needing special units-1</w:t>
            </w:r>
          </w:p>
        </w:tc>
      </w:tr>
      <w:tr w:rsidR="003A2057" w:rsidRPr="00786D07" w14:paraId="52BF4D09"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60B8378"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Statistics report - summary</w:t>
            </w:r>
          </w:p>
        </w:tc>
      </w:tr>
      <w:tr w:rsidR="003A2057" w:rsidRPr="00786D07" w14:paraId="35C052D7"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FFB4630"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Pathology secretariat report</w:t>
            </w:r>
          </w:p>
        </w:tc>
      </w:tr>
      <w:tr w:rsidR="003A2057" w:rsidRPr="00786D07" w14:paraId="075BFEB7"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E36CCCF"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Statistical results report</w:t>
            </w:r>
          </w:p>
        </w:tc>
      </w:tr>
      <w:tr w:rsidR="003A2057" w:rsidRPr="00786D07" w14:paraId="1F534E5F"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F4759F7"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lastRenderedPageBreak/>
              <w:t>Results Summary</w:t>
            </w:r>
          </w:p>
        </w:tc>
      </w:tr>
      <w:tr w:rsidR="003A2057" w:rsidRPr="00786D07" w14:paraId="3F7C40AF"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9F24CE1"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Dispensed units</w:t>
            </w:r>
          </w:p>
        </w:tc>
      </w:tr>
      <w:tr w:rsidR="003A2057" w:rsidRPr="00786D07" w14:paraId="198A1433"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000000" w:fill="FFFF00"/>
            <w:noWrap/>
            <w:vAlign w:val="bottom"/>
            <w:hideMark/>
          </w:tcPr>
          <w:p w14:paraId="1CCA5776"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Pathology</w:t>
            </w:r>
          </w:p>
        </w:tc>
      </w:tr>
      <w:tr w:rsidR="003A2057" w:rsidRPr="00786D07" w14:paraId="61C2979E" w14:textId="77777777" w:rsidTr="00B7589C">
        <w:trPr>
          <w:gridAfter w:val="2"/>
          <w:wAfter w:w="2782" w:type="dxa"/>
          <w:trHeight w:val="285"/>
        </w:trPr>
        <w:tc>
          <w:tcPr>
            <w:tcW w:w="3020" w:type="dxa"/>
            <w:tcBorders>
              <w:top w:val="nil"/>
              <w:left w:val="single" w:sz="4" w:space="0" w:color="auto"/>
              <w:bottom w:val="single" w:sz="4" w:space="0" w:color="auto"/>
              <w:right w:val="single" w:sz="4" w:space="0" w:color="auto"/>
            </w:tcBorders>
            <w:shd w:val="clear" w:color="000000" w:fill="D9D9D9"/>
            <w:noWrap/>
            <w:vAlign w:val="bottom"/>
            <w:hideMark/>
          </w:tcPr>
          <w:p w14:paraId="6135A332"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Pathology</w:t>
            </w:r>
          </w:p>
        </w:tc>
      </w:tr>
      <w:tr w:rsidR="003A2057" w:rsidRPr="00786D07" w14:paraId="7B8B2315" w14:textId="77777777" w:rsidTr="00B7589C">
        <w:trPr>
          <w:gridAfter w:val="2"/>
          <w:wAfter w:w="2782" w:type="dxa"/>
          <w:trHeight w:val="300"/>
        </w:trPr>
        <w:tc>
          <w:tcPr>
            <w:tcW w:w="3020" w:type="dxa"/>
            <w:tcBorders>
              <w:top w:val="nil"/>
              <w:left w:val="single" w:sz="8" w:space="0" w:color="auto"/>
              <w:bottom w:val="single" w:sz="8" w:space="0" w:color="auto"/>
              <w:right w:val="single" w:sz="8" w:space="0" w:color="auto"/>
            </w:tcBorders>
            <w:shd w:val="clear" w:color="auto" w:fill="auto"/>
            <w:vAlign w:val="center"/>
            <w:hideMark/>
          </w:tcPr>
          <w:p w14:paraId="013F7C2B"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Pathology orders report</w:t>
            </w:r>
          </w:p>
        </w:tc>
      </w:tr>
      <w:tr w:rsidR="003A2057" w:rsidRPr="00786D07" w14:paraId="2A954090" w14:textId="77777777" w:rsidTr="00B7589C">
        <w:trPr>
          <w:gridAfter w:val="2"/>
          <w:wAfter w:w="2782" w:type="dxa"/>
          <w:trHeight w:val="300"/>
        </w:trPr>
        <w:tc>
          <w:tcPr>
            <w:tcW w:w="3020" w:type="dxa"/>
            <w:tcBorders>
              <w:top w:val="nil"/>
              <w:left w:val="single" w:sz="8" w:space="0" w:color="auto"/>
              <w:bottom w:val="single" w:sz="8" w:space="0" w:color="auto"/>
              <w:right w:val="single" w:sz="8" w:space="0" w:color="auto"/>
            </w:tcBorders>
            <w:shd w:val="clear" w:color="auto" w:fill="auto"/>
            <w:vAlign w:val="center"/>
            <w:hideMark/>
          </w:tcPr>
          <w:p w14:paraId="23CDD5F1"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Pathology performance report</w:t>
            </w:r>
          </w:p>
        </w:tc>
      </w:tr>
      <w:tr w:rsidR="003A2057" w:rsidRPr="00786D07" w14:paraId="727D3E28" w14:textId="77777777" w:rsidTr="00B7589C">
        <w:trPr>
          <w:gridAfter w:val="2"/>
          <w:wAfter w:w="2782" w:type="dxa"/>
          <w:trHeight w:val="300"/>
        </w:trPr>
        <w:tc>
          <w:tcPr>
            <w:tcW w:w="3020" w:type="dxa"/>
            <w:tcBorders>
              <w:top w:val="nil"/>
              <w:left w:val="single" w:sz="8" w:space="0" w:color="auto"/>
              <w:bottom w:val="single" w:sz="8" w:space="0" w:color="auto"/>
              <w:right w:val="single" w:sz="8" w:space="0" w:color="auto"/>
            </w:tcBorders>
            <w:shd w:val="clear" w:color="auto" w:fill="auto"/>
            <w:vAlign w:val="center"/>
            <w:hideMark/>
          </w:tcPr>
          <w:p w14:paraId="3ADAAF20"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Performance times</w:t>
            </w:r>
          </w:p>
        </w:tc>
      </w:tr>
      <w:tr w:rsidR="003A2057" w:rsidRPr="00786D07" w14:paraId="5D862D25" w14:textId="77777777" w:rsidTr="00B7589C">
        <w:trPr>
          <w:gridAfter w:val="2"/>
          <w:wAfter w:w="2782" w:type="dxa"/>
          <w:trHeight w:val="585"/>
        </w:trPr>
        <w:tc>
          <w:tcPr>
            <w:tcW w:w="3020" w:type="dxa"/>
            <w:tcBorders>
              <w:top w:val="nil"/>
              <w:left w:val="single" w:sz="8" w:space="0" w:color="auto"/>
              <w:bottom w:val="single" w:sz="8" w:space="0" w:color="auto"/>
              <w:right w:val="single" w:sz="8" w:space="0" w:color="auto"/>
            </w:tcBorders>
            <w:shd w:val="clear" w:color="auto" w:fill="auto"/>
            <w:vAlign w:val="center"/>
            <w:hideMark/>
          </w:tcPr>
          <w:p w14:paraId="49C67513"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 xml:space="preserve">General reports / general statistics generator </w:t>
            </w:r>
          </w:p>
        </w:tc>
      </w:tr>
      <w:tr w:rsidR="003A2057" w:rsidRPr="00786D07" w14:paraId="40F40CAD" w14:textId="77777777" w:rsidTr="00B7589C">
        <w:trPr>
          <w:gridAfter w:val="1"/>
          <w:wAfter w:w="222" w:type="dxa"/>
          <w:trHeight w:val="285"/>
        </w:trPr>
        <w:tc>
          <w:tcPr>
            <w:tcW w:w="5580" w:type="dxa"/>
            <w:gridSpan w:val="2"/>
            <w:tcBorders>
              <w:top w:val="nil"/>
              <w:left w:val="nil"/>
              <w:bottom w:val="nil"/>
              <w:right w:val="nil"/>
            </w:tcBorders>
            <w:shd w:val="clear" w:color="000000" w:fill="FFFF00"/>
            <w:noWrap/>
            <w:vAlign w:val="bottom"/>
            <w:hideMark/>
          </w:tcPr>
          <w:p w14:paraId="7F7EDD13"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Microbiology and molecular diagnosis</w:t>
            </w:r>
          </w:p>
        </w:tc>
      </w:tr>
      <w:tr w:rsidR="003A2057" w:rsidRPr="00786D07" w14:paraId="592ED636" w14:textId="77777777" w:rsidTr="00B7589C">
        <w:trPr>
          <w:gridAfter w:val="1"/>
          <w:wAfter w:w="222" w:type="dxa"/>
          <w:trHeight w:val="285"/>
        </w:trPr>
        <w:tc>
          <w:tcPr>
            <w:tcW w:w="558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D971C8A"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 xml:space="preserve"> Name of the report</w:t>
            </w:r>
          </w:p>
        </w:tc>
      </w:tr>
      <w:tr w:rsidR="003A2057" w:rsidRPr="00786D07" w14:paraId="55D8B869" w14:textId="77777777" w:rsidTr="00B7589C">
        <w:trPr>
          <w:gridAfter w:val="1"/>
          <w:wAfter w:w="222" w:type="dxa"/>
          <w:trHeight w:val="476"/>
        </w:trPr>
        <w:tc>
          <w:tcPr>
            <w:tcW w:w="5580"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74DCCE06"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Microbiology reports generator</w:t>
            </w:r>
          </w:p>
        </w:tc>
      </w:tr>
      <w:tr w:rsidR="003A2057" w:rsidRPr="00786D07" w14:paraId="611BB2B2" w14:textId="77777777" w:rsidTr="00B7589C">
        <w:trPr>
          <w:trHeight w:val="285"/>
        </w:trPr>
        <w:tc>
          <w:tcPr>
            <w:tcW w:w="5580" w:type="dxa"/>
            <w:gridSpan w:val="2"/>
            <w:vMerge/>
            <w:tcBorders>
              <w:top w:val="nil"/>
              <w:left w:val="single" w:sz="4" w:space="0" w:color="auto"/>
              <w:bottom w:val="single" w:sz="4" w:space="0" w:color="auto"/>
              <w:right w:val="single" w:sz="4" w:space="0" w:color="auto"/>
            </w:tcBorders>
            <w:vAlign w:val="center"/>
            <w:hideMark/>
          </w:tcPr>
          <w:p w14:paraId="76277446"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p>
        </w:tc>
        <w:tc>
          <w:tcPr>
            <w:tcW w:w="222" w:type="dxa"/>
            <w:tcBorders>
              <w:top w:val="nil"/>
              <w:left w:val="nil"/>
              <w:bottom w:val="nil"/>
              <w:right w:val="nil"/>
            </w:tcBorders>
            <w:shd w:val="clear" w:color="auto" w:fill="auto"/>
            <w:noWrap/>
            <w:vAlign w:val="bottom"/>
            <w:hideMark/>
          </w:tcPr>
          <w:p w14:paraId="62A4A35B" w14:textId="77777777" w:rsidR="003A2057" w:rsidRPr="00786D07" w:rsidRDefault="003A2057" w:rsidP="005B6F56">
            <w:pPr>
              <w:numPr>
                <w:ilvl w:val="0"/>
                <w:numId w:val="0"/>
              </w:numPr>
              <w:spacing w:line="240" w:lineRule="auto"/>
              <w:ind w:left="-1080"/>
              <w:jc w:val="left"/>
              <w:rPr>
                <w:rFonts w:ascii="Times New Roman" w:eastAsia="Times New Roman" w:hAnsi="Times New Roman" w:cs="Arial"/>
                <w:rtl/>
                <w14:ligatures w14:val="none"/>
              </w:rPr>
            </w:pPr>
          </w:p>
        </w:tc>
      </w:tr>
      <w:tr w:rsidR="003A2057" w:rsidRPr="00786D07" w14:paraId="3A106BEC" w14:textId="77777777" w:rsidTr="00B7589C">
        <w:trPr>
          <w:trHeight w:val="285"/>
        </w:trPr>
        <w:tc>
          <w:tcPr>
            <w:tcW w:w="5580" w:type="dxa"/>
            <w:gridSpan w:val="2"/>
            <w:vMerge w:val="restart"/>
            <w:tcBorders>
              <w:top w:val="nil"/>
              <w:left w:val="single" w:sz="4" w:space="0" w:color="auto"/>
              <w:bottom w:val="single" w:sz="4" w:space="0" w:color="auto"/>
              <w:right w:val="single" w:sz="4" w:space="0" w:color="auto"/>
            </w:tcBorders>
            <w:shd w:val="clear" w:color="auto" w:fill="auto"/>
            <w:noWrap/>
            <w:vAlign w:val="bottom"/>
            <w:hideMark/>
          </w:tcPr>
          <w:p w14:paraId="7EA3524B"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General reports generator - statistical results report</w:t>
            </w:r>
          </w:p>
        </w:tc>
        <w:tc>
          <w:tcPr>
            <w:tcW w:w="222" w:type="dxa"/>
            <w:vAlign w:val="center"/>
            <w:hideMark/>
          </w:tcPr>
          <w:p w14:paraId="5A98FC35"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3A30C770" w14:textId="77777777" w:rsidTr="00B7589C">
        <w:trPr>
          <w:trHeight w:val="285"/>
        </w:trPr>
        <w:tc>
          <w:tcPr>
            <w:tcW w:w="5580" w:type="dxa"/>
            <w:gridSpan w:val="2"/>
            <w:vMerge/>
            <w:tcBorders>
              <w:top w:val="nil"/>
              <w:left w:val="single" w:sz="4" w:space="0" w:color="auto"/>
              <w:bottom w:val="single" w:sz="4" w:space="0" w:color="auto"/>
              <w:right w:val="single" w:sz="4" w:space="0" w:color="auto"/>
            </w:tcBorders>
            <w:vAlign w:val="center"/>
            <w:hideMark/>
          </w:tcPr>
          <w:p w14:paraId="23092171"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p>
        </w:tc>
        <w:tc>
          <w:tcPr>
            <w:tcW w:w="222" w:type="dxa"/>
            <w:tcBorders>
              <w:top w:val="nil"/>
              <w:left w:val="nil"/>
              <w:bottom w:val="nil"/>
              <w:right w:val="nil"/>
            </w:tcBorders>
            <w:shd w:val="clear" w:color="auto" w:fill="auto"/>
            <w:noWrap/>
            <w:vAlign w:val="bottom"/>
            <w:hideMark/>
          </w:tcPr>
          <w:p w14:paraId="3054A453" w14:textId="77777777" w:rsidR="003A2057" w:rsidRPr="00786D07" w:rsidRDefault="003A2057" w:rsidP="005B6F56">
            <w:pPr>
              <w:numPr>
                <w:ilvl w:val="0"/>
                <w:numId w:val="0"/>
              </w:numPr>
              <w:spacing w:line="240" w:lineRule="auto"/>
              <w:ind w:left="-1080"/>
              <w:jc w:val="left"/>
              <w:rPr>
                <w:rFonts w:ascii="Times New Roman" w:eastAsia="Times New Roman" w:hAnsi="Times New Roman" w:cs="Arial"/>
                <w:rtl/>
                <w14:ligatures w14:val="none"/>
              </w:rPr>
            </w:pPr>
          </w:p>
        </w:tc>
      </w:tr>
      <w:tr w:rsidR="003A2057" w:rsidRPr="00786D07" w14:paraId="262FB488" w14:textId="77777777" w:rsidTr="00B7589C">
        <w:trPr>
          <w:trHeight w:val="285"/>
        </w:trPr>
        <w:tc>
          <w:tcPr>
            <w:tcW w:w="5580" w:type="dxa"/>
            <w:gridSpan w:val="2"/>
            <w:vMerge/>
            <w:tcBorders>
              <w:top w:val="nil"/>
              <w:left w:val="single" w:sz="4" w:space="0" w:color="auto"/>
              <w:bottom w:val="single" w:sz="4" w:space="0" w:color="auto"/>
              <w:right w:val="single" w:sz="4" w:space="0" w:color="auto"/>
            </w:tcBorders>
            <w:vAlign w:val="center"/>
            <w:hideMark/>
          </w:tcPr>
          <w:p w14:paraId="7C5FF1DE"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p>
        </w:tc>
        <w:tc>
          <w:tcPr>
            <w:tcW w:w="222" w:type="dxa"/>
            <w:tcBorders>
              <w:top w:val="nil"/>
              <w:left w:val="nil"/>
              <w:bottom w:val="nil"/>
              <w:right w:val="nil"/>
            </w:tcBorders>
            <w:shd w:val="clear" w:color="auto" w:fill="auto"/>
            <w:noWrap/>
            <w:vAlign w:val="bottom"/>
            <w:hideMark/>
          </w:tcPr>
          <w:p w14:paraId="07CEDE38"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4872790" w14:textId="77777777" w:rsidTr="00B7589C">
        <w:trPr>
          <w:trHeight w:val="285"/>
        </w:trPr>
        <w:tc>
          <w:tcPr>
            <w:tcW w:w="5580" w:type="dxa"/>
            <w:gridSpan w:val="2"/>
            <w:tcBorders>
              <w:top w:val="nil"/>
              <w:left w:val="single" w:sz="4" w:space="0" w:color="auto"/>
              <w:bottom w:val="single" w:sz="4" w:space="0" w:color="auto"/>
              <w:right w:val="single" w:sz="4" w:space="0" w:color="auto"/>
            </w:tcBorders>
            <w:shd w:val="clear" w:color="auto" w:fill="auto"/>
            <w:noWrap/>
            <w:vAlign w:val="bottom"/>
            <w:hideMark/>
          </w:tcPr>
          <w:p w14:paraId="0F2D8300"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General reports generator - work statistics</w:t>
            </w:r>
          </w:p>
        </w:tc>
        <w:tc>
          <w:tcPr>
            <w:tcW w:w="222" w:type="dxa"/>
            <w:vAlign w:val="center"/>
            <w:hideMark/>
          </w:tcPr>
          <w:p w14:paraId="6007565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08C41E9B" w14:textId="77777777" w:rsidTr="00B7589C">
        <w:trPr>
          <w:trHeight w:val="285"/>
        </w:trPr>
        <w:tc>
          <w:tcPr>
            <w:tcW w:w="5580" w:type="dxa"/>
            <w:gridSpan w:val="2"/>
            <w:tcBorders>
              <w:top w:val="nil"/>
              <w:left w:val="single" w:sz="4" w:space="0" w:color="auto"/>
              <w:bottom w:val="single" w:sz="4" w:space="0" w:color="auto"/>
              <w:right w:val="single" w:sz="4" w:space="0" w:color="auto"/>
            </w:tcBorders>
            <w:shd w:val="clear" w:color="auto" w:fill="auto"/>
            <w:noWrap/>
            <w:vAlign w:val="bottom"/>
            <w:hideMark/>
          </w:tcPr>
          <w:p w14:paraId="20057364"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General reports generator - ordered tests</w:t>
            </w:r>
          </w:p>
        </w:tc>
        <w:tc>
          <w:tcPr>
            <w:tcW w:w="222" w:type="dxa"/>
            <w:vAlign w:val="center"/>
            <w:hideMark/>
          </w:tcPr>
          <w:p w14:paraId="0C288006"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531A944" w14:textId="77777777" w:rsidTr="00B7589C">
        <w:trPr>
          <w:trHeight w:val="285"/>
        </w:trPr>
        <w:tc>
          <w:tcPr>
            <w:tcW w:w="5580" w:type="dxa"/>
            <w:gridSpan w:val="2"/>
            <w:tcBorders>
              <w:top w:val="nil"/>
              <w:left w:val="single" w:sz="4" w:space="0" w:color="auto"/>
              <w:bottom w:val="single" w:sz="4" w:space="0" w:color="auto"/>
              <w:right w:val="single" w:sz="4" w:space="0" w:color="auto"/>
            </w:tcBorders>
            <w:shd w:val="clear" w:color="auto" w:fill="auto"/>
            <w:noWrap/>
            <w:vAlign w:val="bottom"/>
            <w:hideMark/>
          </w:tcPr>
          <w:p w14:paraId="66D6CB2A"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General reports generator - ordered tests for sending party</w:t>
            </w:r>
          </w:p>
        </w:tc>
        <w:tc>
          <w:tcPr>
            <w:tcW w:w="222" w:type="dxa"/>
            <w:vAlign w:val="center"/>
            <w:hideMark/>
          </w:tcPr>
          <w:p w14:paraId="593D069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B7393D8" w14:textId="77777777" w:rsidTr="00B7589C">
        <w:trPr>
          <w:trHeight w:val="285"/>
        </w:trPr>
        <w:tc>
          <w:tcPr>
            <w:tcW w:w="5580" w:type="dxa"/>
            <w:gridSpan w:val="2"/>
            <w:tcBorders>
              <w:top w:val="nil"/>
              <w:left w:val="single" w:sz="4" w:space="0" w:color="auto"/>
              <w:bottom w:val="single" w:sz="4" w:space="0" w:color="auto"/>
              <w:right w:val="single" w:sz="4" w:space="0" w:color="auto"/>
            </w:tcBorders>
            <w:shd w:val="clear" w:color="auto" w:fill="auto"/>
            <w:noWrap/>
            <w:vAlign w:val="bottom"/>
            <w:hideMark/>
          </w:tcPr>
          <w:p w14:paraId="2D375F36" w14:textId="77777777" w:rsidR="003A2057" w:rsidRPr="00786D07" w:rsidRDefault="003A2057" w:rsidP="00B7589C">
            <w:pPr>
              <w:numPr>
                <w:ilvl w:val="0"/>
                <w:numId w:val="0"/>
              </w:numPr>
              <w:spacing w:line="240" w:lineRule="auto"/>
              <w:ind w:left="345"/>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General reports generator - summary of activity for instrument</w:t>
            </w:r>
          </w:p>
        </w:tc>
        <w:tc>
          <w:tcPr>
            <w:tcW w:w="222" w:type="dxa"/>
            <w:vAlign w:val="center"/>
            <w:hideMark/>
          </w:tcPr>
          <w:p w14:paraId="404C555C"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bl>
    <w:p w14:paraId="2BFBB51D" w14:textId="77777777" w:rsidR="003A2057" w:rsidRPr="00786D07" w:rsidRDefault="003A2057" w:rsidP="005B6F56">
      <w:pPr>
        <w:numPr>
          <w:ilvl w:val="0"/>
          <w:numId w:val="0"/>
        </w:numPr>
        <w:ind w:left="-1080"/>
        <w:jc w:val="left"/>
        <w:rPr>
          <w:rFonts w:ascii="Times New Roman" w:hAnsi="Times New Roman"/>
          <w:rtl/>
        </w:rPr>
      </w:pPr>
    </w:p>
    <w:p w14:paraId="725FE5BC" w14:textId="77777777" w:rsidR="003A2057" w:rsidRPr="00786D07" w:rsidRDefault="003A2057" w:rsidP="005B6F56">
      <w:pPr>
        <w:numPr>
          <w:ilvl w:val="0"/>
          <w:numId w:val="0"/>
        </w:numPr>
        <w:ind w:left="-1080"/>
        <w:jc w:val="left"/>
        <w:rPr>
          <w:rFonts w:ascii="Times New Roman" w:hAnsi="Times New Roman"/>
          <w:rtl/>
        </w:rPr>
      </w:pPr>
    </w:p>
    <w:p w14:paraId="63FD5315" w14:textId="77777777" w:rsidR="003A2057" w:rsidRPr="00786D07" w:rsidRDefault="003A2057" w:rsidP="005B6F56">
      <w:pPr>
        <w:numPr>
          <w:ilvl w:val="0"/>
          <w:numId w:val="0"/>
        </w:numPr>
        <w:ind w:left="-1080"/>
        <w:jc w:val="left"/>
        <w:rPr>
          <w:rFonts w:ascii="Times New Roman" w:hAnsi="Times New Roman"/>
          <w:rtl/>
        </w:rPr>
      </w:pPr>
    </w:p>
    <w:p w14:paraId="08693B27" w14:textId="77777777" w:rsidR="003A2057" w:rsidRPr="00786D07" w:rsidRDefault="003A2057" w:rsidP="005B6F56">
      <w:pPr>
        <w:numPr>
          <w:ilvl w:val="0"/>
          <w:numId w:val="0"/>
        </w:numPr>
        <w:ind w:left="-1080"/>
        <w:jc w:val="left"/>
        <w:rPr>
          <w:rFonts w:ascii="Times New Roman" w:hAnsi="Times New Roman"/>
          <w:b/>
          <w:bCs/>
          <w:u w:val="single"/>
          <w:rtl/>
        </w:rPr>
      </w:pPr>
      <w:r w:rsidRPr="00786D07">
        <w:rPr>
          <w:rFonts w:ascii="Times New Roman" w:hAnsi="Times New Roman"/>
          <w:b/>
          <w:bCs/>
          <w:u w:val="single"/>
        </w:rPr>
        <w:t>Rambam Medical Center</w:t>
      </w:r>
    </w:p>
    <w:tbl>
      <w:tblPr>
        <w:tblW w:w="9291" w:type="dxa"/>
        <w:tblLook w:val="04A0" w:firstRow="1" w:lastRow="0" w:firstColumn="1" w:lastColumn="0" w:noHBand="0" w:noVBand="1"/>
      </w:tblPr>
      <w:tblGrid>
        <w:gridCol w:w="1785"/>
        <w:gridCol w:w="7680"/>
        <w:gridCol w:w="222"/>
      </w:tblGrid>
      <w:tr w:rsidR="003A2057" w:rsidRPr="00786D07" w14:paraId="097733E9" w14:textId="77777777" w:rsidTr="00E760EE">
        <w:trPr>
          <w:gridAfter w:val="1"/>
          <w:wAfter w:w="91" w:type="dxa"/>
          <w:trHeight w:val="585"/>
        </w:trPr>
        <w:tc>
          <w:tcPr>
            <w:tcW w:w="152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480EF792"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Laboratory</w:t>
            </w:r>
          </w:p>
        </w:tc>
        <w:tc>
          <w:tcPr>
            <w:tcW w:w="768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13C82EB"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Name of the report</w:t>
            </w:r>
          </w:p>
        </w:tc>
      </w:tr>
      <w:tr w:rsidR="003A2057" w:rsidRPr="00786D07" w14:paraId="7D8CDA4E" w14:textId="77777777" w:rsidTr="00E760EE">
        <w:trPr>
          <w:trHeight w:val="300"/>
        </w:trPr>
        <w:tc>
          <w:tcPr>
            <w:tcW w:w="1520" w:type="dxa"/>
            <w:vMerge/>
            <w:tcBorders>
              <w:top w:val="single" w:sz="8" w:space="0" w:color="auto"/>
              <w:left w:val="single" w:sz="8" w:space="0" w:color="auto"/>
              <w:bottom w:val="single" w:sz="8" w:space="0" w:color="000000"/>
              <w:right w:val="single" w:sz="8" w:space="0" w:color="auto"/>
            </w:tcBorders>
            <w:vAlign w:val="center"/>
            <w:hideMark/>
          </w:tcPr>
          <w:p w14:paraId="3D0F3083"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vMerge/>
            <w:tcBorders>
              <w:top w:val="single" w:sz="8" w:space="0" w:color="auto"/>
              <w:left w:val="single" w:sz="8" w:space="0" w:color="auto"/>
              <w:bottom w:val="single" w:sz="8" w:space="0" w:color="000000"/>
              <w:right w:val="single" w:sz="8" w:space="0" w:color="auto"/>
            </w:tcBorders>
            <w:vAlign w:val="center"/>
            <w:hideMark/>
          </w:tcPr>
          <w:p w14:paraId="0AC4DFC8"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p>
        </w:tc>
        <w:tc>
          <w:tcPr>
            <w:tcW w:w="91" w:type="dxa"/>
            <w:tcBorders>
              <w:top w:val="nil"/>
              <w:left w:val="nil"/>
              <w:bottom w:val="nil"/>
              <w:right w:val="nil"/>
            </w:tcBorders>
            <w:shd w:val="clear" w:color="auto" w:fill="auto"/>
            <w:noWrap/>
            <w:vAlign w:val="bottom"/>
            <w:hideMark/>
          </w:tcPr>
          <w:p w14:paraId="3DC9B0B5" w14:textId="77777777" w:rsidR="003A2057" w:rsidRPr="00786D07" w:rsidRDefault="003A2057" w:rsidP="005B6F56">
            <w:pPr>
              <w:numPr>
                <w:ilvl w:val="0"/>
                <w:numId w:val="0"/>
              </w:numPr>
              <w:spacing w:line="240" w:lineRule="auto"/>
              <w:ind w:left="-1080"/>
              <w:jc w:val="left"/>
              <w:rPr>
                <w:rFonts w:ascii="Times New Roman" w:eastAsia="Times New Roman" w:hAnsi="Times New Roman" w:cs="Arial"/>
                <w:b/>
                <w:bCs/>
                <w:rtl/>
                <w14:ligatures w14:val="none"/>
              </w:rPr>
            </w:pPr>
          </w:p>
        </w:tc>
      </w:tr>
      <w:tr w:rsidR="003A2057" w:rsidRPr="00786D07" w14:paraId="25BC604D"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1F9FD84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Urgent</w:t>
            </w:r>
          </w:p>
        </w:tc>
        <w:tc>
          <w:tcPr>
            <w:tcW w:w="7680" w:type="dxa"/>
            <w:tcBorders>
              <w:top w:val="nil"/>
              <w:left w:val="single" w:sz="8" w:space="0" w:color="auto"/>
              <w:bottom w:val="single" w:sz="8" w:space="0" w:color="auto"/>
              <w:right w:val="nil"/>
            </w:tcBorders>
            <w:shd w:val="clear" w:color="auto" w:fill="auto"/>
            <w:noWrap/>
            <w:vAlign w:val="center"/>
            <w:hideMark/>
          </w:tcPr>
          <w:p w14:paraId="5238CBAC"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Disqualifications report</w:t>
            </w:r>
          </w:p>
        </w:tc>
        <w:tc>
          <w:tcPr>
            <w:tcW w:w="91" w:type="dxa"/>
            <w:vAlign w:val="center"/>
            <w:hideMark/>
          </w:tcPr>
          <w:p w14:paraId="67EA61F2"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72BC4E91"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46C72637"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6111E751"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Performance times</w:t>
            </w:r>
          </w:p>
        </w:tc>
        <w:tc>
          <w:tcPr>
            <w:tcW w:w="91" w:type="dxa"/>
            <w:vAlign w:val="center"/>
            <w:hideMark/>
          </w:tcPr>
          <w:p w14:paraId="06E3F861"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0D061CFF"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3D1F0CC2"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6B394085"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Work statistics</w:t>
            </w:r>
          </w:p>
        </w:tc>
        <w:tc>
          <w:tcPr>
            <w:tcW w:w="91" w:type="dxa"/>
            <w:vAlign w:val="center"/>
            <w:hideMark/>
          </w:tcPr>
          <w:p w14:paraId="0E6D2A8D"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5A1586D4"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3E9317D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2C06453C"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 xml:space="preserve">General statistics </w:t>
            </w:r>
          </w:p>
        </w:tc>
        <w:tc>
          <w:tcPr>
            <w:tcW w:w="91" w:type="dxa"/>
            <w:vAlign w:val="center"/>
            <w:hideMark/>
          </w:tcPr>
          <w:p w14:paraId="079AD622"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51BC7A04"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06E260DD"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35AABCB4"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Passing of laboratory tests results</w:t>
            </w:r>
          </w:p>
        </w:tc>
        <w:tc>
          <w:tcPr>
            <w:tcW w:w="91" w:type="dxa"/>
            <w:vAlign w:val="center"/>
            <w:hideMark/>
          </w:tcPr>
          <w:p w14:paraId="721604A1"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0D5DBB0C"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46A1CA1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47D297A4"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Irregular results- telephone reporting</w:t>
            </w:r>
          </w:p>
        </w:tc>
        <w:tc>
          <w:tcPr>
            <w:tcW w:w="91" w:type="dxa"/>
            <w:vAlign w:val="center"/>
            <w:hideMark/>
          </w:tcPr>
          <w:p w14:paraId="75104CC3"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7D82BCA2"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5FDD658B"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Hematology</w:t>
            </w:r>
          </w:p>
        </w:tc>
        <w:tc>
          <w:tcPr>
            <w:tcW w:w="7680" w:type="dxa"/>
            <w:tcBorders>
              <w:top w:val="nil"/>
              <w:left w:val="single" w:sz="8" w:space="0" w:color="auto"/>
              <w:bottom w:val="single" w:sz="8" w:space="0" w:color="auto"/>
              <w:right w:val="nil"/>
            </w:tcBorders>
            <w:shd w:val="clear" w:color="auto" w:fill="auto"/>
            <w:noWrap/>
            <w:vAlign w:val="center"/>
            <w:hideMark/>
          </w:tcPr>
          <w:p w14:paraId="4B8D6973"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Ad-hoc queries</w:t>
            </w:r>
          </w:p>
        </w:tc>
        <w:tc>
          <w:tcPr>
            <w:tcW w:w="91" w:type="dxa"/>
            <w:vAlign w:val="center"/>
            <w:hideMark/>
          </w:tcPr>
          <w:p w14:paraId="0B134675"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FFCF663" w14:textId="77777777" w:rsidTr="00E760EE">
        <w:trPr>
          <w:trHeight w:val="6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1B8B93A8"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lastRenderedPageBreak/>
              <w:t> </w:t>
            </w:r>
          </w:p>
        </w:tc>
        <w:tc>
          <w:tcPr>
            <w:tcW w:w="7680" w:type="dxa"/>
            <w:tcBorders>
              <w:top w:val="nil"/>
              <w:left w:val="single" w:sz="8" w:space="0" w:color="auto"/>
              <w:bottom w:val="single" w:sz="8" w:space="0" w:color="auto"/>
              <w:right w:val="nil"/>
            </w:tcBorders>
            <w:shd w:val="clear" w:color="auto" w:fill="auto"/>
            <w:noWrap/>
            <w:vAlign w:val="center"/>
            <w:hideMark/>
          </w:tcPr>
          <w:p w14:paraId="54AC50CC"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 xml:space="preserve">General statistics </w:t>
            </w:r>
          </w:p>
        </w:tc>
        <w:tc>
          <w:tcPr>
            <w:tcW w:w="91" w:type="dxa"/>
            <w:vAlign w:val="center"/>
            <w:hideMark/>
          </w:tcPr>
          <w:p w14:paraId="71A487DC"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AA3074C"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36850A5C"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28EB2F75"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Laboratory logs report No. 1</w:t>
            </w:r>
          </w:p>
        </w:tc>
        <w:tc>
          <w:tcPr>
            <w:tcW w:w="91" w:type="dxa"/>
            <w:vAlign w:val="center"/>
            <w:hideMark/>
          </w:tcPr>
          <w:p w14:paraId="618872A5"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A4BCED7"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6B5BC2E7"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3A50FF05"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 xml:space="preserve">Performance times. </w:t>
            </w:r>
          </w:p>
        </w:tc>
        <w:tc>
          <w:tcPr>
            <w:tcW w:w="91" w:type="dxa"/>
            <w:vAlign w:val="center"/>
            <w:hideMark/>
          </w:tcPr>
          <w:p w14:paraId="50543A42"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D4B1F87"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594AF847"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2C23A465"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Disqualifications</w:t>
            </w:r>
          </w:p>
        </w:tc>
        <w:tc>
          <w:tcPr>
            <w:tcW w:w="91" w:type="dxa"/>
            <w:vAlign w:val="center"/>
            <w:hideMark/>
          </w:tcPr>
          <w:p w14:paraId="6E66800B"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5E40DA9"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76056FDB"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49A12177"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Results report</w:t>
            </w:r>
          </w:p>
        </w:tc>
        <w:tc>
          <w:tcPr>
            <w:tcW w:w="91" w:type="dxa"/>
            <w:vAlign w:val="center"/>
            <w:hideMark/>
          </w:tcPr>
          <w:p w14:paraId="458DA447"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8924B66"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78ECEC60"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343512DD"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Statistics</w:t>
            </w:r>
          </w:p>
        </w:tc>
        <w:tc>
          <w:tcPr>
            <w:tcW w:w="91" w:type="dxa"/>
            <w:vAlign w:val="center"/>
            <w:hideMark/>
          </w:tcPr>
          <w:p w14:paraId="73218904"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C09986E"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4F636617"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3350589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Statistics</w:t>
            </w:r>
          </w:p>
        </w:tc>
        <w:tc>
          <w:tcPr>
            <w:tcW w:w="91" w:type="dxa"/>
            <w:vAlign w:val="center"/>
            <w:hideMark/>
          </w:tcPr>
          <w:p w14:paraId="2C64A48E"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33AB3E3"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07297A53"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5D4664C5"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 xml:space="preserve">Review </w:t>
            </w:r>
          </w:p>
        </w:tc>
        <w:tc>
          <w:tcPr>
            <w:tcW w:w="91" w:type="dxa"/>
            <w:vAlign w:val="center"/>
            <w:hideMark/>
          </w:tcPr>
          <w:p w14:paraId="7094B041"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2AF7237"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4E13D21F"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6970D41D"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Customer service</w:t>
            </w:r>
          </w:p>
        </w:tc>
        <w:tc>
          <w:tcPr>
            <w:tcW w:w="91" w:type="dxa"/>
            <w:vAlign w:val="center"/>
            <w:hideMark/>
          </w:tcPr>
          <w:p w14:paraId="2886491C"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7AA8227D"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5FBD86EA"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04ED9E2C"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Harmonization</w:t>
            </w:r>
          </w:p>
        </w:tc>
        <w:tc>
          <w:tcPr>
            <w:tcW w:w="91" w:type="dxa"/>
            <w:vAlign w:val="center"/>
            <w:hideMark/>
          </w:tcPr>
          <w:p w14:paraId="2AD9A553"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8FBFA72" w14:textId="77777777" w:rsidTr="00E760EE">
        <w:trPr>
          <w:trHeight w:val="300"/>
        </w:trPr>
        <w:tc>
          <w:tcPr>
            <w:tcW w:w="152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F3FFE3D"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Chemistry</w:t>
            </w:r>
          </w:p>
        </w:tc>
        <w:tc>
          <w:tcPr>
            <w:tcW w:w="7680" w:type="dxa"/>
            <w:tcBorders>
              <w:top w:val="nil"/>
              <w:left w:val="single" w:sz="8" w:space="0" w:color="auto"/>
              <w:bottom w:val="nil"/>
              <w:right w:val="nil"/>
            </w:tcBorders>
            <w:shd w:val="clear" w:color="auto" w:fill="auto"/>
            <w:noWrap/>
            <w:vAlign w:val="center"/>
            <w:hideMark/>
          </w:tcPr>
          <w:p w14:paraId="75092221"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Laboratory test results report,</w:t>
            </w:r>
          </w:p>
        </w:tc>
        <w:tc>
          <w:tcPr>
            <w:tcW w:w="91" w:type="dxa"/>
            <w:vAlign w:val="center"/>
            <w:hideMark/>
          </w:tcPr>
          <w:p w14:paraId="7A6F402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34E5655F"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15C3B3C5"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0FD44391"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xml:space="preserve">Ranges report, </w:t>
            </w:r>
          </w:p>
        </w:tc>
        <w:tc>
          <w:tcPr>
            <w:tcW w:w="91" w:type="dxa"/>
            <w:vAlign w:val="center"/>
            <w:hideMark/>
          </w:tcPr>
          <w:p w14:paraId="5D30D197"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E1C8094"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5F6ECD58"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38C88F06"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Comments report,</w:t>
            </w:r>
          </w:p>
        </w:tc>
        <w:tc>
          <w:tcPr>
            <w:tcW w:w="91" w:type="dxa"/>
            <w:vAlign w:val="center"/>
            <w:hideMark/>
          </w:tcPr>
          <w:p w14:paraId="01239BCC"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5186A0E8" w14:textId="77777777" w:rsidTr="00E760EE">
        <w:trPr>
          <w:trHeight w:val="315"/>
        </w:trPr>
        <w:tc>
          <w:tcPr>
            <w:tcW w:w="1520" w:type="dxa"/>
            <w:vMerge/>
            <w:tcBorders>
              <w:top w:val="nil"/>
              <w:left w:val="single" w:sz="8" w:space="0" w:color="auto"/>
              <w:bottom w:val="single" w:sz="8" w:space="0" w:color="000000"/>
              <w:right w:val="single" w:sz="8" w:space="0" w:color="auto"/>
            </w:tcBorders>
            <w:vAlign w:val="center"/>
            <w:hideMark/>
          </w:tcPr>
          <w:p w14:paraId="367D92B2"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single" w:sz="8" w:space="0" w:color="auto"/>
              <w:right w:val="nil"/>
            </w:tcBorders>
            <w:shd w:val="clear" w:color="auto" w:fill="auto"/>
            <w:noWrap/>
            <w:vAlign w:val="center"/>
            <w:hideMark/>
          </w:tcPr>
          <w:p w14:paraId="0A718F4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Distribution of tests by sending party</w:t>
            </w:r>
          </w:p>
        </w:tc>
        <w:tc>
          <w:tcPr>
            <w:tcW w:w="91" w:type="dxa"/>
            <w:vAlign w:val="center"/>
            <w:hideMark/>
          </w:tcPr>
          <w:p w14:paraId="4193789B"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40BF260" w14:textId="77777777" w:rsidTr="00E760EE">
        <w:trPr>
          <w:trHeight w:val="300"/>
        </w:trPr>
        <w:tc>
          <w:tcPr>
            <w:tcW w:w="152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4D7D2E0"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nil"/>
              <w:right w:val="nil"/>
            </w:tcBorders>
            <w:shd w:val="clear" w:color="auto" w:fill="auto"/>
            <w:noWrap/>
            <w:vAlign w:val="center"/>
            <w:hideMark/>
          </w:tcPr>
          <w:p w14:paraId="56C1B91C"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Telephone announcements by sending party report</w:t>
            </w:r>
          </w:p>
        </w:tc>
        <w:tc>
          <w:tcPr>
            <w:tcW w:w="91" w:type="dxa"/>
            <w:vAlign w:val="center"/>
            <w:hideMark/>
          </w:tcPr>
          <w:p w14:paraId="60E749ED"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01C75286"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795E0837"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276E20CA"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Disqualifications for samples / tests report,</w:t>
            </w:r>
          </w:p>
        </w:tc>
        <w:tc>
          <w:tcPr>
            <w:tcW w:w="91" w:type="dxa"/>
            <w:vAlign w:val="center"/>
            <w:hideMark/>
          </w:tcPr>
          <w:p w14:paraId="46ECB422"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7D08A2EA"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56B58DCF"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0E0E21B6"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Performance times.</w:t>
            </w:r>
          </w:p>
        </w:tc>
        <w:tc>
          <w:tcPr>
            <w:tcW w:w="91" w:type="dxa"/>
            <w:vAlign w:val="center"/>
            <w:hideMark/>
          </w:tcPr>
          <w:p w14:paraId="4F2FEFA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C04916D" w14:textId="77777777" w:rsidTr="00E760EE">
        <w:trPr>
          <w:trHeight w:val="315"/>
        </w:trPr>
        <w:tc>
          <w:tcPr>
            <w:tcW w:w="1520" w:type="dxa"/>
            <w:vMerge/>
            <w:tcBorders>
              <w:top w:val="nil"/>
              <w:left w:val="single" w:sz="8" w:space="0" w:color="auto"/>
              <w:bottom w:val="single" w:sz="8" w:space="0" w:color="000000"/>
              <w:right w:val="single" w:sz="8" w:space="0" w:color="auto"/>
            </w:tcBorders>
            <w:vAlign w:val="center"/>
            <w:hideMark/>
          </w:tcPr>
          <w:p w14:paraId="4F5EEA63"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single" w:sz="8" w:space="0" w:color="auto"/>
              <w:right w:val="nil"/>
            </w:tcBorders>
            <w:shd w:val="clear" w:color="auto" w:fill="auto"/>
            <w:noWrap/>
            <w:vAlign w:val="center"/>
            <w:hideMark/>
          </w:tcPr>
          <w:p w14:paraId="0752A9B7"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Telephone announcements by order,</w:t>
            </w:r>
          </w:p>
        </w:tc>
        <w:tc>
          <w:tcPr>
            <w:tcW w:w="91" w:type="dxa"/>
            <w:vAlign w:val="center"/>
            <w:hideMark/>
          </w:tcPr>
          <w:p w14:paraId="09458B7B"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EA2B4AF"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hideMark/>
          </w:tcPr>
          <w:p w14:paraId="664BCEB9"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05467E08"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Performance times report, telephone announcements report</w:t>
            </w:r>
          </w:p>
        </w:tc>
        <w:tc>
          <w:tcPr>
            <w:tcW w:w="91" w:type="dxa"/>
            <w:vAlign w:val="center"/>
            <w:hideMark/>
          </w:tcPr>
          <w:p w14:paraId="7C5D9ED1"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A4785DF"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hideMark/>
          </w:tcPr>
          <w:p w14:paraId="32FA61AF"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4A8254A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Work statistics report, concentrated test results report, general statistics report</w:t>
            </w:r>
          </w:p>
        </w:tc>
        <w:tc>
          <w:tcPr>
            <w:tcW w:w="91" w:type="dxa"/>
            <w:vAlign w:val="center"/>
            <w:hideMark/>
          </w:tcPr>
          <w:p w14:paraId="04F79CD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7A93CB66" w14:textId="77777777" w:rsidTr="00E760EE">
        <w:trPr>
          <w:trHeight w:val="1185"/>
        </w:trPr>
        <w:tc>
          <w:tcPr>
            <w:tcW w:w="1520" w:type="dxa"/>
            <w:vMerge w:val="restart"/>
            <w:tcBorders>
              <w:top w:val="nil"/>
              <w:left w:val="single" w:sz="8" w:space="0" w:color="auto"/>
              <w:bottom w:val="single" w:sz="8" w:space="0" w:color="000000"/>
              <w:right w:val="single" w:sz="8" w:space="0" w:color="auto"/>
            </w:tcBorders>
            <w:shd w:val="clear" w:color="auto" w:fill="auto"/>
            <w:noWrap/>
            <w:hideMark/>
          </w:tcPr>
          <w:p w14:paraId="14E7793B"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nil"/>
              <w:right w:val="nil"/>
            </w:tcBorders>
            <w:shd w:val="clear" w:color="auto" w:fill="auto"/>
            <w:noWrap/>
            <w:vAlign w:val="center"/>
            <w:hideMark/>
          </w:tcPr>
          <w:p w14:paraId="0F228F46"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 xml:space="preserve">Results concentrated by sending party report </w:t>
            </w:r>
          </w:p>
        </w:tc>
        <w:tc>
          <w:tcPr>
            <w:tcW w:w="91" w:type="dxa"/>
            <w:vAlign w:val="center"/>
            <w:hideMark/>
          </w:tcPr>
          <w:p w14:paraId="3BDF24CE"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C101F8E"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12EEFCB9"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14:ligatures w14:val="none"/>
              </w:rPr>
            </w:pPr>
          </w:p>
        </w:tc>
        <w:tc>
          <w:tcPr>
            <w:tcW w:w="7680" w:type="dxa"/>
            <w:tcBorders>
              <w:top w:val="nil"/>
              <w:left w:val="single" w:sz="8" w:space="0" w:color="auto"/>
              <w:bottom w:val="nil"/>
              <w:right w:val="nil"/>
            </w:tcBorders>
            <w:shd w:val="clear" w:color="auto" w:fill="auto"/>
            <w:noWrap/>
            <w:vAlign w:val="center"/>
            <w:hideMark/>
          </w:tcPr>
          <w:p w14:paraId="7561F1A3"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w:t>
            </w:r>
          </w:p>
        </w:tc>
        <w:tc>
          <w:tcPr>
            <w:tcW w:w="91" w:type="dxa"/>
            <w:vAlign w:val="center"/>
            <w:hideMark/>
          </w:tcPr>
          <w:p w14:paraId="497FEF67"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31BEF2D1"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21975BF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14:ligatures w14:val="none"/>
              </w:rPr>
            </w:pPr>
          </w:p>
        </w:tc>
        <w:tc>
          <w:tcPr>
            <w:tcW w:w="7680" w:type="dxa"/>
            <w:tcBorders>
              <w:top w:val="nil"/>
              <w:left w:val="single" w:sz="8" w:space="0" w:color="auto"/>
              <w:bottom w:val="single" w:sz="8" w:space="0" w:color="auto"/>
              <w:right w:val="nil"/>
            </w:tcBorders>
            <w:shd w:val="clear" w:color="auto" w:fill="auto"/>
            <w:noWrap/>
            <w:vAlign w:val="center"/>
            <w:hideMark/>
          </w:tcPr>
          <w:p w14:paraId="46AFA9E2"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concentrated of results</w:t>
            </w:r>
          </w:p>
        </w:tc>
        <w:tc>
          <w:tcPr>
            <w:tcW w:w="91" w:type="dxa"/>
            <w:vAlign w:val="center"/>
            <w:hideMark/>
          </w:tcPr>
          <w:p w14:paraId="5C1521CF"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5CEDB909"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hideMark/>
          </w:tcPr>
          <w:p w14:paraId="057615FE"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1E36717D"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Statistics report</w:t>
            </w:r>
          </w:p>
        </w:tc>
        <w:tc>
          <w:tcPr>
            <w:tcW w:w="91" w:type="dxa"/>
            <w:vAlign w:val="center"/>
            <w:hideMark/>
          </w:tcPr>
          <w:p w14:paraId="29AC957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4867940"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hideMark/>
          </w:tcPr>
          <w:p w14:paraId="26E075D3"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0C14D42E"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Results report</w:t>
            </w:r>
          </w:p>
        </w:tc>
        <w:tc>
          <w:tcPr>
            <w:tcW w:w="91" w:type="dxa"/>
            <w:vAlign w:val="center"/>
            <w:hideMark/>
          </w:tcPr>
          <w:p w14:paraId="161CA8DA"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7CADF8A1"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15E6861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The Laboratories Division</w:t>
            </w:r>
          </w:p>
        </w:tc>
        <w:tc>
          <w:tcPr>
            <w:tcW w:w="7680" w:type="dxa"/>
            <w:tcBorders>
              <w:top w:val="nil"/>
              <w:left w:val="single" w:sz="8" w:space="0" w:color="auto"/>
              <w:bottom w:val="single" w:sz="8" w:space="0" w:color="auto"/>
              <w:right w:val="nil"/>
            </w:tcBorders>
            <w:shd w:val="clear" w:color="auto" w:fill="auto"/>
            <w:noWrap/>
            <w:vAlign w:val="center"/>
            <w:hideMark/>
          </w:tcPr>
          <w:p w14:paraId="47B2BACE"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Statistics report</w:t>
            </w:r>
          </w:p>
        </w:tc>
        <w:tc>
          <w:tcPr>
            <w:tcW w:w="91" w:type="dxa"/>
            <w:vAlign w:val="center"/>
            <w:hideMark/>
          </w:tcPr>
          <w:p w14:paraId="2EB54F3F"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0989E83E"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hideMark/>
          </w:tcPr>
          <w:p w14:paraId="39282309"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53D4F57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Results report</w:t>
            </w:r>
          </w:p>
        </w:tc>
        <w:tc>
          <w:tcPr>
            <w:tcW w:w="91" w:type="dxa"/>
            <w:vAlign w:val="center"/>
            <w:hideMark/>
          </w:tcPr>
          <w:p w14:paraId="2BDAF23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5EB2BC75"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0A9F4CF9"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Endocrinology</w:t>
            </w:r>
          </w:p>
        </w:tc>
        <w:tc>
          <w:tcPr>
            <w:tcW w:w="7680" w:type="dxa"/>
            <w:tcBorders>
              <w:top w:val="nil"/>
              <w:left w:val="single" w:sz="8" w:space="0" w:color="auto"/>
              <w:bottom w:val="single" w:sz="8" w:space="0" w:color="auto"/>
              <w:right w:val="nil"/>
            </w:tcBorders>
            <w:shd w:val="clear" w:color="auto" w:fill="auto"/>
            <w:noWrap/>
            <w:vAlign w:val="center"/>
            <w:hideMark/>
          </w:tcPr>
          <w:p w14:paraId="1C5893A6"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Reports - quality control - disqualifications</w:t>
            </w:r>
          </w:p>
        </w:tc>
        <w:tc>
          <w:tcPr>
            <w:tcW w:w="91" w:type="dxa"/>
            <w:vAlign w:val="center"/>
            <w:hideMark/>
          </w:tcPr>
          <w:p w14:paraId="0D24FAB5"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44CBD42"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09F4B205"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0B5E114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Review - performance times</w:t>
            </w:r>
          </w:p>
        </w:tc>
        <w:tc>
          <w:tcPr>
            <w:tcW w:w="91" w:type="dxa"/>
            <w:vAlign w:val="center"/>
            <w:hideMark/>
          </w:tcPr>
          <w:p w14:paraId="32CAAC9C"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ECFBC02"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2F0545A0"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784CCAE3"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Customer service - telephone messages</w:t>
            </w:r>
          </w:p>
        </w:tc>
        <w:tc>
          <w:tcPr>
            <w:tcW w:w="91" w:type="dxa"/>
            <w:vAlign w:val="center"/>
            <w:hideMark/>
          </w:tcPr>
          <w:p w14:paraId="35105669"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ABD8D5A"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126C659B"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lastRenderedPageBreak/>
              <w:t> </w:t>
            </w:r>
          </w:p>
        </w:tc>
        <w:tc>
          <w:tcPr>
            <w:tcW w:w="7680" w:type="dxa"/>
            <w:tcBorders>
              <w:top w:val="nil"/>
              <w:left w:val="single" w:sz="8" w:space="0" w:color="auto"/>
              <w:bottom w:val="single" w:sz="8" w:space="0" w:color="auto"/>
              <w:right w:val="nil"/>
            </w:tcBorders>
            <w:shd w:val="clear" w:color="auto" w:fill="auto"/>
            <w:noWrap/>
            <w:vAlign w:val="center"/>
            <w:hideMark/>
          </w:tcPr>
          <w:p w14:paraId="6382ACB8"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Process - work list</w:t>
            </w:r>
          </w:p>
        </w:tc>
        <w:tc>
          <w:tcPr>
            <w:tcW w:w="91" w:type="dxa"/>
            <w:vAlign w:val="center"/>
            <w:hideMark/>
          </w:tcPr>
          <w:p w14:paraId="2728FEA3"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C18769B"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04E4A33F"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52574A6E"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Process - work list - results</w:t>
            </w:r>
          </w:p>
        </w:tc>
        <w:tc>
          <w:tcPr>
            <w:tcW w:w="91" w:type="dxa"/>
            <w:vAlign w:val="center"/>
            <w:hideMark/>
          </w:tcPr>
          <w:p w14:paraId="79CF2DAE"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EE7F171"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718ADEAA"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778D0F19"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Work statistics report</w:t>
            </w:r>
          </w:p>
        </w:tc>
        <w:tc>
          <w:tcPr>
            <w:tcW w:w="91" w:type="dxa"/>
            <w:vAlign w:val="center"/>
            <w:hideMark/>
          </w:tcPr>
          <w:p w14:paraId="79892F49"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2DDD1E7"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43264182"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2DAC00AE"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Encouragement fee</w:t>
            </w:r>
          </w:p>
        </w:tc>
        <w:tc>
          <w:tcPr>
            <w:tcW w:w="91" w:type="dxa"/>
            <w:vAlign w:val="center"/>
            <w:hideMark/>
          </w:tcPr>
          <w:p w14:paraId="3AA2CEA1"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5EEDA06"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62CA5578"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073DD289"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Laboratory test results report</w:t>
            </w:r>
          </w:p>
        </w:tc>
        <w:tc>
          <w:tcPr>
            <w:tcW w:w="91" w:type="dxa"/>
            <w:vAlign w:val="center"/>
            <w:hideMark/>
          </w:tcPr>
          <w:p w14:paraId="69C2817F"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0C248303"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bottom"/>
            <w:hideMark/>
          </w:tcPr>
          <w:p w14:paraId="172EFFCF"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011863B2"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 Samples underway report</w:t>
            </w:r>
          </w:p>
        </w:tc>
        <w:tc>
          <w:tcPr>
            <w:tcW w:w="91" w:type="dxa"/>
            <w:vAlign w:val="center"/>
            <w:hideMark/>
          </w:tcPr>
          <w:p w14:paraId="1FB55FAF"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3A8163BA"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bottom"/>
            <w:hideMark/>
          </w:tcPr>
          <w:p w14:paraId="6FC2BF2D"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1D2D0292"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 xml:space="preserve">Results report  </w:t>
            </w:r>
          </w:p>
        </w:tc>
        <w:tc>
          <w:tcPr>
            <w:tcW w:w="91" w:type="dxa"/>
            <w:vAlign w:val="center"/>
            <w:hideMark/>
          </w:tcPr>
          <w:p w14:paraId="62C85568"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50EDA099"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bottom"/>
            <w:hideMark/>
          </w:tcPr>
          <w:p w14:paraId="10DBB475"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57A6B6D5"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 xml:space="preserve">Results report </w:t>
            </w:r>
          </w:p>
        </w:tc>
        <w:tc>
          <w:tcPr>
            <w:tcW w:w="91" w:type="dxa"/>
            <w:vAlign w:val="center"/>
            <w:hideMark/>
          </w:tcPr>
          <w:p w14:paraId="31C0EA6A"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23486DD" w14:textId="77777777" w:rsidTr="00E760EE">
        <w:trPr>
          <w:trHeight w:val="300"/>
        </w:trPr>
        <w:tc>
          <w:tcPr>
            <w:tcW w:w="1520" w:type="dxa"/>
            <w:tcBorders>
              <w:top w:val="nil"/>
              <w:left w:val="single" w:sz="8" w:space="0" w:color="auto"/>
              <w:bottom w:val="single" w:sz="8" w:space="0" w:color="auto"/>
              <w:right w:val="single" w:sz="8" w:space="0" w:color="auto"/>
            </w:tcBorders>
            <w:shd w:val="clear" w:color="auto" w:fill="auto"/>
            <w:noWrap/>
            <w:vAlign w:val="bottom"/>
            <w:hideMark/>
          </w:tcPr>
          <w:p w14:paraId="47370159"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243B7F29"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sz w:val="16"/>
                <w:szCs w:val="16"/>
                <w14:ligatures w14:val="none"/>
              </w:rPr>
            </w:pPr>
            <w:r w:rsidRPr="00786D07">
              <w:rPr>
                <w:rFonts w:ascii="Times New Roman" w:eastAsia="Times New Roman" w:hAnsi="Times New Roman" w:cs="Arial"/>
                <w:b/>
                <w:bCs/>
                <w:sz w:val="16"/>
                <w:szCs w:val="16"/>
                <w14:ligatures w14:val="none"/>
              </w:rPr>
              <w:t>Performance times</w:t>
            </w:r>
          </w:p>
        </w:tc>
        <w:tc>
          <w:tcPr>
            <w:tcW w:w="91" w:type="dxa"/>
            <w:vAlign w:val="center"/>
            <w:hideMark/>
          </w:tcPr>
          <w:p w14:paraId="198A1AD8"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80B34A9" w14:textId="77777777" w:rsidTr="00E760EE">
        <w:trPr>
          <w:trHeight w:val="300"/>
        </w:trPr>
        <w:tc>
          <w:tcPr>
            <w:tcW w:w="1520" w:type="dxa"/>
            <w:tcBorders>
              <w:top w:val="nil"/>
              <w:left w:val="single" w:sz="8" w:space="0" w:color="auto"/>
              <w:bottom w:val="single" w:sz="8" w:space="0" w:color="auto"/>
              <w:right w:val="single" w:sz="8" w:space="0" w:color="auto"/>
            </w:tcBorders>
            <w:shd w:val="clear" w:color="auto" w:fill="auto"/>
            <w:noWrap/>
            <w:vAlign w:val="bottom"/>
            <w:hideMark/>
          </w:tcPr>
          <w:p w14:paraId="1426C78C"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rtl/>
                <w14:ligatures w14:val="none"/>
              </w:rPr>
            </w:pPr>
            <w:r w:rsidRPr="00786D07">
              <w:rPr>
                <w:rFonts w:ascii="Times New Roman" w:eastAsia="Times New Roman" w:hAnsi="Times New Roman" w:cs="Arial"/>
                <w:sz w:val="20"/>
                <w:szCs w:val="20"/>
                <w14:ligatures w14:val="none"/>
              </w:rPr>
              <w:t> </w:t>
            </w:r>
          </w:p>
        </w:tc>
        <w:tc>
          <w:tcPr>
            <w:tcW w:w="768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EC1F19E"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sz w:val="16"/>
                <w:szCs w:val="16"/>
                <w14:ligatures w14:val="none"/>
              </w:rPr>
            </w:pPr>
            <w:r w:rsidRPr="00786D07">
              <w:rPr>
                <w:rFonts w:ascii="Times New Roman" w:eastAsia="Times New Roman" w:hAnsi="Times New Roman" w:cs="Arial"/>
                <w:b/>
                <w:bCs/>
                <w:sz w:val="16"/>
                <w:szCs w:val="16"/>
                <w14:ligatures w14:val="none"/>
              </w:rPr>
              <w:t> </w:t>
            </w:r>
          </w:p>
        </w:tc>
        <w:tc>
          <w:tcPr>
            <w:tcW w:w="91" w:type="dxa"/>
            <w:vAlign w:val="center"/>
            <w:hideMark/>
          </w:tcPr>
          <w:p w14:paraId="615F173C"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3AEFD3C" w14:textId="77777777" w:rsidTr="00E760EE">
        <w:trPr>
          <w:trHeight w:val="300"/>
        </w:trPr>
        <w:tc>
          <w:tcPr>
            <w:tcW w:w="1520" w:type="dxa"/>
            <w:tcBorders>
              <w:top w:val="nil"/>
              <w:left w:val="single" w:sz="8" w:space="0" w:color="auto"/>
              <w:bottom w:val="single" w:sz="8" w:space="0" w:color="auto"/>
              <w:right w:val="single" w:sz="8" w:space="0" w:color="auto"/>
            </w:tcBorders>
            <w:shd w:val="clear" w:color="auto" w:fill="auto"/>
            <w:noWrap/>
            <w:vAlign w:val="bottom"/>
            <w:hideMark/>
          </w:tcPr>
          <w:p w14:paraId="00F0056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14:ligatures w14:val="none"/>
              </w:rPr>
            </w:pPr>
            <w:r w:rsidRPr="00786D07">
              <w:rPr>
                <w:rFonts w:ascii="Times New Roman" w:eastAsia="Times New Roman" w:hAnsi="Times New Roman" w:cs="Arial"/>
                <w:sz w:val="20"/>
                <w:szCs w:val="20"/>
                <w14:ligatures w14:val="none"/>
              </w:rPr>
              <w:t> </w:t>
            </w:r>
          </w:p>
        </w:tc>
        <w:tc>
          <w:tcPr>
            <w:tcW w:w="7680" w:type="dxa"/>
            <w:vMerge/>
            <w:tcBorders>
              <w:top w:val="nil"/>
              <w:left w:val="single" w:sz="8" w:space="0" w:color="auto"/>
              <w:bottom w:val="single" w:sz="8" w:space="0" w:color="000000"/>
              <w:right w:val="single" w:sz="8" w:space="0" w:color="auto"/>
            </w:tcBorders>
            <w:vAlign w:val="center"/>
            <w:hideMark/>
          </w:tcPr>
          <w:p w14:paraId="130BD0E8"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sz w:val="16"/>
                <w:szCs w:val="16"/>
                <w14:ligatures w14:val="none"/>
              </w:rPr>
            </w:pPr>
          </w:p>
        </w:tc>
        <w:tc>
          <w:tcPr>
            <w:tcW w:w="91" w:type="dxa"/>
            <w:vAlign w:val="center"/>
            <w:hideMark/>
          </w:tcPr>
          <w:p w14:paraId="475A0642"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1115CAB"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bottom"/>
            <w:hideMark/>
          </w:tcPr>
          <w:p w14:paraId="4B35D47E"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sz w:val="20"/>
                <w:szCs w:val="20"/>
                <w14:ligatures w14:val="none"/>
              </w:rPr>
            </w:pPr>
            <w:r w:rsidRPr="00786D07">
              <w:rPr>
                <w:rFonts w:ascii="Times New Roman" w:eastAsia="Times New Roman" w:hAnsi="Times New Roman" w:cs="Arial"/>
                <w:sz w:val="20"/>
                <w:szCs w:val="20"/>
                <w14:ligatures w14:val="none"/>
              </w:rPr>
              <w:t> </w:t>
            </w:r>
          </w:p>
        </w:tc>
        <w:tc>
          <w:tcPr>
            <w:tcW w:w="7680" w:type="dxa"/>
            <w:tcBorders>
              <w:top w:val="nil"/>
              <w:left w:val="single" w:sz="8" w:space="0" w:color="auto"/>
              <w:bottom w:val="single" w:sz="8" w:space="0" w:color="auto"/>
              <w:right w:val="nil"/>
            </w:tcBorders>
            <w:shd w:val="clear" w:color="auto" w:fill="auto"/>
            <w:vAlign w:val="center"/>
            <w:hideMark/>
          </w:tcPr>
          <w:p w14:paraId="6B25BC9D"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General statistics report</w:t>
            </w:r>
          </w:p>
        </w:tc>
        <w:tc>
          <w:tcPr>
            <w:tcW w:w="91" w:type="dxa"/>
            <w:vAlign w:val="center"/>
            <w:hideMark/>
          </w:tcPr>
          <w:p w14:paraId="21C1C0E2"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8C6F723" w14:textId="77777777" w:rsidTr="00E760EE">
        <w:trPr>
          <w:trHeight w:val="285"/>
        </w:trPr>
        <w:tc>
          <w:tcPr>
            <w:tcW w:w="152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21CD94C"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Toxicology</w:t>
            </w:r>
          </w:p>
        </w:tc>
        <w:tc>
          <w:tcPr>
            <w:tcW w:w="7680" w:type="dxa"/>
            <w:tcBorders>
              <w:top w:val="nil"/>
              <w:left w:val="single" w:sz="8" w:space="0" w:color="auto"/>
              <w:bottom w:val="nil"/>
              <w:right w:val="nil"/>
            </w:tcBorders>
            <w:shd w:val="clear" w:color="auto" w:fill="auto"/>
            <w:noWrap/>
            <w:vAlign w:val="center"/>
            <w:hideMark/>
          </w:tcPr>
          <w:p w14:paraId="17C915E6"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Disqualifications report</w:t>
            </w:r>
          </w:p>
        </w:tc>
        <w:tc>
          <w:tcPr>
            <w:tcW w:w="91" w:type="dxa"/>
            <w:vAlign w:val="center"/>
            <w:hideMark/>
          </w:tcPr>
          <w:p w14:paraId="1859D181"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34ECCC95" w14:textId="77777777" w:rsidTr="00E760EE">
        <w:trPr>
          <w:trHeight w:val="285"/>
        </w:trPr>
        <w:tc>
          <w:tcPr>
            <w:tcW w:w="1520" w:type="dxa"/>
            <w:vMerge/>
            <w:tcBorders>
              <w:top w:val="nil"/>
              <w:left w:val="single" w:sz="8" w:space="0" w:color="auto"/>
              <w:bottom w:val="single" w:sz="8" w:space="0" w:color="000000"/>
              <w:right w:val="single" w:sz="8" w:space="0" w:color="auto"/>
            </w:tcBorders>
            <w:vAlign w:val="center"/>
            <w:hideMark/>
          </w:tcPr>
          <w:p w14:paraId="1403D92D"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72AF568E"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Performance times</w:t>
            </w:r>
          </w:p>
        </w:tc>
        <w:tc>
          <w:tcPr>
            <w:tcW w:w="91" w:type="dxa"/>
            <w:vAlign w:val="center"/>
            <w:hideMark/>
          </w:tcPr>
          <w:p w14:paraId="4B98832A"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F23E329" w14:textId="77777777" w:rsidTr="00E760EE">
        <w:trPr>
          <w:trHeight w:val="285"/>
        </w:trPr>
        <w:tc>
          <w:tcPr>
            <w:tcW w:w="1520" w:type="dxa"/>
            <w:vMerge/>
            <w:tcBorders>
              <w:top w:val="nil"/>
              <w:left w:val="single" w:sz="8" w:space="0" w:color="auto"/>
              <w:bottom w:val="single" w:sz="8" w:space="0" w:color="000000"/>
              <w:right w:val="single" w:sz="8" w:space="0" w:color="auto"/>
            </w:tcBorders>
            <w:vAlign w:val="center"/>
            <w:hideMark/>
          </w:tcPr>
          <w:p w14:paraId="7B71404D"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42BCB173"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General statistics by various profiles (sender, test, etc.)</w:t>
            </w:r>
          </w:p>
        </w:tc>
        <w:tc>
          <w:tcPr>
            <w:tcW w:w="91" w:type="dxa"/>
            <w:vAlign w:val="center"/>
            <w:hideMark/>
          </w:tcPr>
          <w:p w14:paraId="5BF05CC5"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98EE694" w14:textId="77777777" w:rsidTr="00E760EE">
        <w:trPr>
          <w:trHeight w:val="285"/>
        </w:trPr>
        <w:tc>
          <w:tcPr>
            <w:tcW w:w="1520" w:type="dxa"/>
            <w:vMerge/>
            <w:tcBorders>
              <w:top w:val="nil"/>
              <w:left w:val="single" w:sz="8" w:space="0" w:color="auto"/>
              <w:bottom w:val="single" w:sz="8" w:space="0" w:color="000000"/>
              <w:right w:val="single" w:sz="8" w:space="0" w:color="auto"/>
            </w:tcBorders>
            <w:vAlign w:val="center"/>
            <w:hideMark/>
          </w:tcPr>
          <w:p w14:paraId="0ECE5D7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1DE428D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Concentrated test results for a subject or ordering party - including comments and units</w:t>
            </w:r>
          </w:p>
        </w:tc>
        <w:tc>
          <w:tcPr>
            <w:tcW w:w="91" w:type="dxa"/>
            <w:vAlign w:val="center"/>
            <w:hideMark/>
          </w:tcPr>
          <w:p w14:paraId="5500C4E8"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15DFEBE" w14:textId="77777777" w:rsidTr="00E760EE">
        <w:trPr>
          <w:trHeight w:val="285"/>
        </w:trPr>
        <w:tc>
          <w:tcPr>
            <w:tcW w:w="1520" w:type="dxa"/>
            <w:vMerge/>
            <w:tcBorders>
              <w:top w:val="nil"/>
              <w:left w:val="single" w:sz="8" w:space="0" w:color="auto"/>
              <w:bottom w:val="single" w:sz="8" w:space="0" w:color="000000"/>
              <w:right w:val="single" w:sz="8" w:space="0" w:color="auto"/>
            </w:tcBorders>
            <w:vAlign w:val="center"/>
            <w:hideMark/>
          </w:tcPr>
          <w:p w14:paraId="1A307DA1"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5150565D"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Telephone announcements report</w:t>
            </w:r>
          </w:p>
        </w:tc>
        <w:tc>
          <w:tcPr>
            <w:tcW w:w="91" w:type="dxa"/>
            <w:vAlign w:val="center"/>
            <w:hideMark/>
          </w:tcPr>
          <w:p w14:paraId="120E1590"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4AFF20BA" w14:textId="77777777" w:rsidTr="00E760EE">
        <w:trPr>
          <w:trHeight w:val="285"/>
        </w:trPr>
        <w:tc>
          <w:tcPr>
            <w:tcW w:w="1520" w:type="dxa"/>
            <w:vMerge/>
            <w:tcBorders>
              <w:top w:val="nil"/>
              <w:left w:val="single" w:sz="8" w:space="0" w:color="auto"/>
              <w:bottom w:val="single" w:sz="8" w:space="0" w:color="000000"/>
              <w:right w:val="single" w:sz="8" w:space="0" w:color="auto"/>
            </w:tcBorders>
            <w:vAlign w:val="center"/>
            <w:hideMark/>
          </w:tcPr>
          <w:p w14:paraId="4E029929"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54BAA770"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rtl/>
                <w14:ligatures w14:val="none"/>
              </w:rPr>
            </w:pPr>
            <w:r w:rsidRPr="00786D07">
              <w:rPr>
                <w:rFonts w:ascii="Times New Roman" w:eastAsia="Times New Roman" w:hAnsi="Times New Roman" w:cs="Arial"/>
                <w14:ligatures w14:val="none"/>
              </w:rPr>
              <w:t> </w:t>
            </w:r>
          </w:p>
        </w:tc>
        <w:tc>
          <w:tcPr>
            <w:tcW w:w="91" w:type="dxa"/>
            <w:vAlign w:val="center"/>
            <w:hideMark/>
          </w:tcPr>
          <w:p w14:paraId="17B662F5"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0D119E3B"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3897639A"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single" w:sz="8" w:space="0" w:color="auto"/>
              <w:right w:val="nil"/>
            </w:tcBorders>
            <w:shd w:val="clear" w:color="auto" w:fill="auto"/>
            <w:noWrap/>
            <w:vAlign w:val="center"/>
            <w:hideMark/>
          </w:tcPr>
          <w:p w14:paraId="22D4D13B"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 </w:t>
            </w:r>
          </w:p>
        </w:tc>
        <w:tc>
          <w:tcPr>
            <w:tcW w:w="91" w:type="dxa"/>
            <w:vAlign w:val="center"/>
            <w:hideMark/>
          </w:tcPr>
          <w:p w14:paraId="596B8672"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18CB874E" w14:textId="77777777" w:rsidTr="00E760EE">
        <w:trPr>
          <w:trHeight w:val="285"/>
        </w:trPr>
        <w:tc>
          <w:tcPr>
            <w:tcW w:w="152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7EFF69A"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 </w:t>
            </w:r>
          </w:p>
        </w:tc>
        <w:tc>
          <w:tcPr>
            <w:tcW w:w="768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BD4627D"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r w:rsidRPr="00786D07">
              <w:rPr>
                <w:rFonts w:ascii="Times New Roman" w:eastAsia="Times New Roman" w:hAnsi="Times New Roman" w:cs="Arial"/>
                <w14:ligatures w14:val="none"/>
              </w:rPr>
              <w:t>Work statistics report, concentrated test results report, general statistics report</w:t>
            </w:r>
          </w:p>
        </w:tc>
        <w:tc>
          <w:tcPr>
            <w:tcW w:w="91" w:type="dxa"/>
            <w:vAlign w:val="center"/>
            <w:hideMark/>
          </w:tcPr>
          <w:p w14:paraId="2DD328A8"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5AEAB37D"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53127FBF"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14:ligatures w14:val="none"/>
              </w:rPr>
            </w:pPr>
          </w:p>
        </w:tc>
        <w:tc>
          <w:tcPr>
            <w:tcW w:w="7680" w:type="dxa"/>
            <w:vMerge/>
            <w:tcBorders>
              <w:top w:val="nil"/>
              <w:left w:val="single" w:sz="8" w:space="0" w:color="auto"/>
              <w:bottom w:val="single" w:sz="8" w:space="0" w:color="000000"/>
              <w:right w:val="single" w:sz="8" w:space="0" w:color="auto"/>
            </w:tcBorders>
            <w:vAlign w:val="center"/>
            <w:hideMark/>
          </w:tcPr>
          <w:p w14:paraId="07BB9603"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14:ligatures w14:val="none"/>
              </w:rPr>
            </w:pPr>
          </w:p>
        </w:tc>
        <w:tc>
          <w:tcPr>
            <w:tcW w:w="91" w:type="dxa"/>
            <w:tcBorders>
              <w:top w:val="nil"/>
              <w:left w:val="nil"/>
              <w:bottom w:val="nil"/>
              <w:right w:val="nil"/>
            </w:tcBorders>
            <w:shd w:val="clear" w:color="auto" w:fill="auto"/>
            <w:noWrap/>
            <w:vAlign w:val="bottom"/>
            <w:hideMark/>
          </w:tcPr>
          <w:p w14:paraId="4276997A" w14:textId="77777777" w:rsidR="003A2057" w:rsidRPr="00786D07" w:rsidRDefault="003A2057" w:rsidP="005B6F56">
            <w:pPr>
              <w:numPr>
                <w:ilvl w:val="0"/>
                <w:numId w:val="0"/>
              </w:numPr>
              <w:spacing w:line="240" w:lineRule="auto"/>
              <w:ind w:left="-1080"/>
              <w:jc w:val="left"/>
              <w:rPr>
                <w:rFonts w:ascii="Times New Roman" w:eastAsia="Times New Roman" w:hAnsi="Times New Roman" w:cs="Arial"/>
                <w:rtl/>
                <w14:ligatures w14:val="none"/>
              </w:rPr>
            </w:pPr>
          </w:p>
        </w:tc>
      </w:tr>
      <w:tr w:rsidR="003A2057" w:rsidRPr="00786D07" w14:paraId="567C1D17" w14:textId="77777777" w:rsidTr="00E760EE">
        <w:trPr>
          <w:trHeight w:val="300"/>
        </w:trPr>
        <w:tc>
          <w:tcPr>
            <w:tcW w:w="152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8F497E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Microbiology</w:t>
            </w:r>
          </w:p>
        </w:tc>
        <w:tc>
          <w:tcPr>
            <w:tcW w:w="7680" w:type="dxa"/>
            <w:tcBorders>
              <w:top w:val="nil"/>
              <w:left w:val="single" w:sz="8" w:space="0" w:color="auto"/>
              <w:bottom w:val="nil"/>
              <w:right w:val="nil"/>
            </w:tcBorders>
            <w:shd w:val="clear" w:color="auto" w:fill="auto"/>
            <w:noWrap/>
            <w:vAlign w:val="center"/>
            <w:hideMark/>
          </w:tcPr>
          <w:p w14:paraId="5A745C6C"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Subject results</w:t>
            </w:r>
          </w:p>
        </w:tc>
        <w:tc>
          <w:tcPr>
            <w:tcW w:w="91" w:type="dxa"/>
            <w:vAlign w:val="center"/>
            <w:hideMark/>
          </w:tcPr>
          <w:p w14:paraId="3D0A7D77"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20AB911E" w14:textId="77777777" w:rsidTr="00E760EE">
        <w:trPr>
          <w:trHeight w:val="300"/>
        </w:trPr>
        <w:tc>
          <w:tcPr>
            <w:tcW w:w="1520" w:type="dxa"/>
            <w:vMerge/>
            <w:tcBorders>
              <w:top w:val="nil"/>
              <w:left w:val="single" w:sz="8" w:space="0" w:color="auto"/>
              <w:bottom w:val="single" w:sz="8" w:space="0" w:color="000000"/>
              <w:right w:val="single" w:sz="8" w:space="0" w:color="auto"/>
            </w:tcBorders>
            <w:vAlign w:val="center"/>
            <w:hideMark/>
          </w:tcPr>
          <w:p w14:paraId="7274D38B"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nil"/>
              <w:right w:val="nil"/>
            </w:tcBorders>
            <w:shd w:val="clear" w:color="auto" w:fill="auto"/>
            <w:noWrap/>
            <w:vAlign w:val="center"/>
            <w:hideMark/>
          </w:tcPr>
          <w:p w14:paraId="06E473A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Microbiology reports generator</w:t>
            </w:r>
          </w:p>
        </w:tc>
        <w:tc>
          <w:tcPr>
            <w:tcW w:w="91" w:type="dxa"/>
            <w:vAlign w:val="center"/>
            <w:hideMark/>
          </w:tcPr>
          <w:p w14:paraId="0536C18A"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72F73C33" w14:textId="77777777" w:rsidTr="00E760EE">
        <w:trPr>
          <w:trHeight w:val="315"/>
        </w:trPr>
        <w:tc>
          <w:tcPr>
            <w:tcW w:w="1520" w:type="dxa"/>
            <w:vMerge/>
            <w:tcBorders>
              <w:top w:val="nil"/>
              <w:left w:val="single" w:sz="8" w:space="0" w:color="auto"/>
              <w:bottom w:val="single" w:sz="8" w:space="0" w:color="000000"/>
              <w:right w:val="single" w:sz="8" w:space="0" w:color="auto"/>
            </w:tcBorders>
            <w:vAlign w:val="center"/>
            <w:hideMark/>
          </w:tcPr>
          <w:p w14:paraId="70EAF866"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14:ligatures w14:val="none"/>
              </w:rPr>
            </w:pPr>
          </w:p>
        </w:tc>
        <w:tc>
          <w:tcPr>
            <w:tcW w:w="7680" w:type="dxa"/>
            <w:tcBorders>
              <w:top w:val="nil"/>
              <w:left w:val="single" w:sz="8" w:space="0" w:color="auto"/>
              <w:bottom w:val="single" w:sz="8" w:space="0" w:color="auto"/>
              <w:right w:val="nil"/>
            </w:tcBorders>
            <w:shd w:val="clear" w:color="auto" w:fill="auto"/>
            <w:noWrap/>
            <w:vAlign w:val="center"/>
            <w:hideMark/>
          </w:tcPr>
          <w:p w14:paraId="01484C5B"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For reporting resistant bacteria to the MoH</w:t>
            </w:r>
          </w:p>
        </w:tc>
        <w:tc>
          <w:tcPr>
            <w:tcW w:w="91" w:type="dxa"/>
            <w:vAlign w:val="center"/>
            <w:hideMark/>
          </w:tcPr>
          <w:p w14:paraId="4DA5F6BB"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r w:rsidR="003A2057" w:rsidRPr="00786D07" w14:paraId="6BBF7F66" w14:textId="77777777" w:rsidTr="00E760EE">
        <w:trPr>
          <w:trHeight w:val="315"/>
        </w:trPr>
        <w:tc>
          <w:tcPr>
            <w:tcW w:w="1520" w:type="dxa"/>
            <w:tcBorders>
              <w:top w:val="nil"/>
              <w:left w:val="single" w:sz="8" w:space="0" w:color="auto"/>
              <w:bottom w:val="single" w:sz="8" w:space="0" w:color="auto"/>
              <w:right w:val="single" w:sz="8" w:space="0" w:color="auto"/>
            </w:tcBorders>
            <w:shd w:val="clear" w:color="auto" w:fill="auto"/>
            <w:noWrap/>
            <w:vAlign w:val="center"/>
            <w:hideMark/>
          </w:tcPr>
          <w:p w14:paraId="11CD54C9" w14:textId="77777777" w:rsidR="003A2057" w:rsidRPr="00786D07" w:rsidRDefault="003A2057" w:rsidP="00B7589C">
            <w:pPr>
              <w:numPr>
                <w:ilvl w:val="0"/>
                <w:numId w:val="0"/>
              </w:numPr>
              <w:spacing w:line="240" w:lineRule="auto"/>
              <w:ind w:left="62"/>
              <w:jc w:val="left"/>
              <w:rPr>
                <w:rFonts w:ascii="Times New Roman" w:eastAsia="Times New Roman" w:hAnsi="Times New Roman" w:cs="Arial"/>
                <w:b/>
                <w:bCs/>
                <w:rtl/>
                <w14:ligatures w14:val="none"/>
              </w:rPr>
            </w:pPr>
            <w:r w:rsidRPr="00786D07">
              <w:rPr>
                <w:rFonts w:ascii="Times New Roman" w:eastAsia="Times New Roman" w:hAnsi="Times New Roman" w:cs="Arial"/>
                <w:b/>
                <w:bCs/>
                <w14:ligatures w14:val="none"/>
              </w:rPr>
              <w:t> </w:t>
            </w:r>
          </w:p>
        </w:tc>
        <w:tc>
          <w:tcPr>
            <w:tcW w:w="7680" w:type="dxa"/>
            <w:tcBorders>
              <w:top w:val="nil"/>
              <w:left w:val="single" w:sz="8" w:space="0" w:color="auto"/>
              <w:bottom w:val="single" w:sz="8" w:space="0" w:color="auto"/>
              <w:right w:val="nil"/>
            </w:tcBorders>
            <w:shd w:val="clear" w:color="auto" w:fill="auto"/>
            <w:noWrap/>
            <w:vAlign w:val="center"/>
            <w:hideMark/>
          </w:tcPr>
          <w:p w14:paraId="0D3A57FF" w14:textId="77777777" w:rsidR="003A2057" w:rsidRPr="00786D07" w:rsidRDefault="003A2057" w:rsidP="00B7589C">
            <w:pPr>
              <w:numPr>
                <w:ilvl w:val="0"/>
                <w:numId w:val="0"/>
              </w:numPr>
              <w:spacing w:line="240" w:lineRule="auto"/>
              <w:ind w:left="162"/>
              <w:jc w:val="left"/>
              <w:rPr>
                <w:rFonts w:ascii="Times New Roman" w:eastAsia="Times New Roman" w:hAnsi="Times New Roman" w:cs="Arial"/>
                <w:b/>
                <w:bCs/>
                <w14:ligatures w14:val="none"/>
              </w:rPr>
            </w:pPr>
            <w:r w:rsidRPr="00786D07">
              <w:rPr>
                <w:rFonts w:ascii="Times New Roman" w:eastAsia="Times New Roman" w:hAnsi="Times New Roman" w:cs="Arial"/>
                <w:b/>
                <w:bCs/>
                <w14:ligatures w14:val="none"/>
              </w:rPr>
              <w:t>Performance times</w:t>
            </w:r>
          </w:p>
        </w:tc>
        <w:tc>
          <w:tcPr>
            <w:tcW w:w="91" w:type="dxa"/>
            <w:vAlign w:val="center"/>
            <w:hideMark/>
          </w:tcPr>
          <w:p w14:paraId="124E953A" w14:textId="77777777" w:rsidR="003A2057" w:rsidRPr="00786D07" w:rsidRDefault="003A2057" w:rsidP="005B6F56">
            <w:pPr>
              <w:numPr>
                <w:ilvl w:val="0"/>
                <w:numId w:val="0"/>
              </w:numPr>
              <w:spacing w:line="240" w:lineRule="auto"/>
              <w:ind w:left="-1080"/>
              <w:jc w:val="left"/>
              <w:rPr>
                <w:rFonts w:ascii="Times New Roman" w:eastAsia="Times New Roman" w:hAnsi="Times New Roman" w:cs="Times New Roman"/>
                <w:sz w:val="20"/>
                <w:szCs w:val="20"/>
                <w14:ligatures w14:val="none"/>
              </w:rPr>
            </w:pPr>
          </w:p>
        </w:tc>
      </w:tr>
    </w:tbl>
    <w:p w14:paraId="2C876823" w14:textId="77777777" w:rsidR="003A2057" w:rsidRPr="00786D07" w:rsidRDefault="003A2057" w:rsidP="005B6F56">
      <w:pPr>
        <w:numPr>
          <w:ilvl w:val="0"/>
          <w:numId w:val="0"/>
        </w:numPr>
        <w:ind w:left="-1080"/>
        <w:jc w:val="left"/>
        <w:rPr>
          <w:rFonts w:ascii="Times New Roman" w:hAnsi="Times New Roman"/>
        </w:rPr>
      </w:pPr>
    </w:p>
    <w:p w14:paraId="483D13B8" w14:textId="50DD9748" w:rsidR="00B2656C" w:rsidRDefault="00B2656C" w:rsidP="005B6F56">
      <w:pPr>
        <w:numPr>
          <w:ilvl w:val="0"/>
          <w:numId w:val="0"/>
        </w:numPr>
        <w:spacing w:after="160" w:line="259" w:lineRule="auto"/>
        <w:ind w:left="-1080"/>
        <w:jc w:val="left"/>
        <w:rPr>
          <w:b/>
          <w:bCs/>
          <w:sz w:val="32"/>
          <w:szCs w:val="32"/>
        </w:rPr>
      </w:pPr>
      <w:r>
        <w:br w:type="page"/>
      </w:r>
    </w:p>
    <w:p w14:paraId="16001C75" w14:textId="77777777" w:rsidR="00E53A4C" w:rsidRPr="005B25BA" w:rsidRDefault="00E53A4C" w:rsidP="005B6F56">
      <w:pPr>
        <w:numPr>
          <w:ilvl w:val="0"/>
          <w:numId w:val="0"/>
        </w:numPr>
        <w:shd w:val="clear" w:color="auto" w:fill="FFFFFF"/>
        <w:spacing w:after="45"/>
        <w:ind w:left="-1080"/>
        <w:jc w:val="left"/>
        <w:rPr>
          <w:rFonts w:ascii="Times New Roman" w:eastAsia="Tahoma" w:hAnsi="Times New Roman" w:cs="Tahoma"/>
          <w:b/>
          <w:sz w:val="23"/>
          <w:szCs w:val="23"/>
          <w:u w:val="single"/>
        </w:rPr>
      </w:pPr>
    </w:p>
    <w:p w14:paraId="1D508342" w14:textId="77777777" w:rsidR="00E53A4C" w:rsidRPr="005B25BA" w:rsidRDefault="00E53A4C" w:rsidP="00B7589C">
      <w:pPr>
        <w:numPr>
          <w:ilvl w:val="0"/>
          <w:numId w:val="0"/>
        </w:numPr>
        <w:shd w:val="clear" w:color="auto" w:fill="FFFFFF"/>
        <w:spacing w:after="45"/>
        <w:ind w:left="90"/>
        <w:jc w:val="left"/>
        <w:rPr>
          <w:rFonts w:ascii="Times New Roman" w:eastAsia="Tahoma" w:hAnsi="Times New Roman" w:cs="Tahoma"/>
          <w:b/>
          <w:sz w:val="23"/>
          <w:szCs w:val="23"/>
          <w:u w:val="single"/>
        </w:rPr>
      </w:pPr>
    </w:p>
    <w:tbl>
      <w:tblPr>
        <w:tblW w:w="5000" w:type="pct"/>
        <w:tblBorders>
          <w:top w:val="nil"/>
          <w:left w:val="nil"/>
          <w:bottom w:val="nil"/>
          <w:right w:val="nil"/>
          <w:insideH w:val="nil"/>
          <w:insideV w:val="nil"/>
        </w:tblBorders>
        <w:tblLook w:val="0400" w:firstRow="0" w:lastRow="0" w:firstColumn="0" w:lastColumn="0" w:noHBand="0" w:noVBand="1"/>
      </w:tblPr>
      <w:tblGrid>
        <w:gridCol w:w="1100"/>
        <w:gridCol w:w="7540"/>
      </w:tblGrid>
      <w:tr w:rsidR="00E53A4C" w:rsidRPr="005B25BA" w14:paraId="7E1E1025" w14:textId="77777777" w:rsidTr="00E760EE">
        <w:tc>
          <w:tcPr>
            <w:tcW w:w="5000" w:type="pct"/>
            <w:gridSpan w:val="2"/>
          </w:tcPr>
          <w:p w14:paraId="34C82AC8" w14:textId="77777777" w:rsidR="00E53A4C" w:rsidRPr="005B25BA" w:rsidRDefault="00E53A4C" w:rsidP="00B7589C">
            <w:pPr>
              <w:numPr>
                <w:ilvl w:val="0"/>
                <w:numId w:val="0"/>
              </w:numPr>
              <w:ind w:left="90"/>
              <w:jc w:val="left"/>
              <w:rPr>
                <w:rFonts w:ascii="Times New Roman" w:eastAsia="Tahoma" w:hAnsi="Times New Roman" w:cs="Tahoma"/>
              </w:rPr>
            </w:pPr>
            <w:bookmarkStart w:id="6" w:name="_heading=h.gjdgxs" w:colFirst="0" w:colLast="0"/>
            <w:bookmarkEnd w:id="6"/>
          </w:p>
        </w:tc>
      </w:tr>
      <w:tr w:rsidR="00E53A4C" w:rsidRPr="005B25BA" w14:paraId="5A6169EE" w14:textId="77777777" w:rsidTr="00E760EE">
        <w:tc>
          <w:tcPr>
            <w:tcW w:w="5000" w:type="pct"/>
            <w:gridSpan w:val="2"/>
          </w:tcPr>
          <w:p w14:paraId="625E654F" w14:textId="77777777" w:rsidR="00E53A4C" w:rsidRPr="005B25BA" w:rsidRDefault="00E53A4C" w:rsidP="00B7589C">
            <w:pPr>
              <w:numPr>
                <w:ilvl w:val="0"/>
                <w:numId w:val="0"/>
              </w:numPr>
              <w:ind w:left="90"/>
              <w:jc w:val="left"/>
              <w:rPr>
                <w:rFonts w:ascii="Times New Roman" w:eastAsia="Tahoma" w:hAnsi="Times New Roman" w:cs="Tahoma"/>
                <w:b/>
                <w:sz w:val="80"/>
                <w:szCs w:val="80"/>
                <w:u w:val="single"/>
                <w:rtl/>
              </w:rPr>
            </w:pPr>
            <w:r w:rsidRPr="005B25BA">
              <w:rPr>
                <w:rFonts w:ascii="Times New Roman" w:eastAsia="Tahoma" w:hAnsi="Times New Roman" w:cs="Tahoma"/>
                <w:b/>
                <w:bCs/>
                <w:sz w:val="80"/>
                <w:szCs w:val="80"/>
              </w:rPr>
              <w:t>Recommendation for Backup Policy and Methodology</w:t>
            </w:r>
          </w:p>
        </w:tc>
      </w:tr>
      <w:tr w:rsidR="00E53A4C" w:rsidRPr="005B25BA" w14:paraId="681157FA" w14:textId="77777777" w:rsidTr="00E760EE">
        <w:tc>
          <w:tcPr>
            <w:tcW w:w="5000" w:type="pct"/>
            <w:gridSpan w:val="2"/>
          </w:tcPr>
          <w:p w14:paraId="6629AE51" w14:textId="77777777" w:rsidR="00E53A4C" w:rsidRPr="005B25BA" w:rsidRDefault="00E53A4C" w:rsidP="00B7589C">
            <w:pPr>
              <w:numPr>
                <w:ilvl w:val="0"/>
                <w:numId w:val="0"/>
              </w:numPr>
              <w:ind w:left="90"/>
              <w:jc w:val="left"/>
              <w:rPr>
                <w:rFonts w:ascii="Times New Roman" w:eastAsia="Tahoma" w:hAnsi="Times New Roman" w:cs="Tahoma"/>
              </w:rPr>
            </w:pPr>
          </w:p>
        </w:tc>
      </w:tr>
      <w:tr w:rsidR="00E53A4C" w:rsidRPr="005B25BA" w14:paraId="0FADDF5D" w14:textId="77777777" w:rsidTr="00E760EE">
        <w:tc>
          <w:tcPr>
            <w:tcW w:w="5000" w:type="pct"/>
            <w:gridSpan w:val="2"/>
          </w:tcPr>
          <w:p w14:paraId="7C690A00" w14:textId="77777777" w:rsidR="00E53A4C" w:rsidRPr="005B25BA" w:rsidRDefault="00E53A4C" w:rsidP="00B7589C">
            <w:pPr>
              <w:numPr>
                <w:ilvl w:val="0"/>
                <w:numId w:val="0"/>
              </w:numPr>
              <w:ind w:left="90"/>
              <w:jc w:val="left"/>
              <w:rPr>
                <w:rFonts w:ascii="Times New Roman" w:eastAsia="Tahoma" w:hAnsi="Times New Roman" w:cs="Tahoma"/>
                <w:b/>
                <w:sz w:val="52"/>
                <w:szCs w:val="52"/>
              </w:rPr>
            </w:pPr>
            <w:r w:rsidRPr="005B25BA">
              <w:rPr>
                <w:rFonts w:ascii="Times New Roman" w:eastAsia="Tahoma" w:hAnsi="Times New Roman" w:cs="Tahoma"/>
                <w:b/>
                <w:bCs/>
                <w:sz w:val="52"/>
                <w:szCs w:val="52"/>
              </w:rPr>
              <w:t xml:space="preserve">Medical Centers </w:t>
            </w:r>
          </w:p>
          <w:p w14:paraId="64B1AFB0" w14:textId="77777777" w:rsidR="00E53A4C" w:rsidRPr="005B25BA" w:rsidRDefault="00E53A4C" w:rsidP="00B7589C">
            <w:pPr>
              <w:numPr>
                <w:ilvl w:val="0"/>
                <w:numId w:val="0"/>
              </w:numPr>
              <w:ind w:left="90"/>
              <w:jc w:val="left"/>
              <w:rPr>
                <w:rFonts w:ascii="Times New Roman" w:eastAsia="Tahoma" w:hAnsi="Times New Roman" w:cs="Tahoma"/>
                <w:b/>
                <w:sz w:val="52"/>
                <w:szCs w:val="52"/>
              </w:rPr>
            </w:pPr>
          </w:p>
        </w:tc>
      </w:tr>
      <w:tr w:rsidR="00E53A4C" w:rsidRPr="005B25BA" w14:paraId="7528D500" w14:textId="77777777" w:rsidTr="00E760EE">
        <w:tc>
          <w:tcPr>
            <w:tcW w:w="5000" w:type="pct"/>
            <w:gridSpan w:val="2"/>
          </w:tcPr>
          <w:p w14:paraId="1C5E9FE5" w14:textId="77777777" w:rsidR="00E53A4C" w:rsidRPr="005B25BA" w:rsidRDefault="00E53A4C" w:rsidP="00B7589C">
            <w:pPr>
              <w:numPr>
                <w:ilvl w:val="0"/>
                <w:numId w:val="0"/>
              </w:numPr>
              <w:ind w:left="90"/>
              <w:jc w:val="left"/>
              <w:rPr>
                <w:rFonts w:ascii="Times New Roman" w:eastAsia="Tahoma" w:hAnsi="Times New Roman" w:cs="Tahoma"/>
              </w:rPr>
            </w:pPr>
          </w:p>
        </w:tc>
      </w:tr>
      <w:tr w:rsidR="00E53A4C" w:rsidRPr="005B25BA" w14:paraId="6ACD31AC" w14:textId="77777777" w:rsidTr="00E760EE">
        <w:tc>
          <w:tcPr>
            <w:tcW w:w="5000" w:type="pct"/>
            <w:gridSpan w:val="2"/>
          </w:tcPr>
          <w:p w14:paraId="3A8065C6" w14:textId="77777777" w:rsidR="00E53A4C" w:rsidRPr="005B25BA" w:rsidRDefault="00E53A4C" w:rsidP="00B7589C">
            <w:pPr>
              <w:numPr>
                <w:ilvl w:val="0"/>
                <w:numId w:val="0"/>
              </w:numPr>
              <w:tabs>
                <w:tab w:val="left" w:pos="8820"/>
              </w:tabs>
              <w:ind w:left="90"/>
              <w:jc w:val="left"/>
              <w:rPr>
                <w:rFonts w:ascii="Times New Roman" w:eastAsia="Tahoma" w:hAnsi="Times New Roman" w:cs="Tahoma"/>
                <w:sz w:val="48"/>
                <w:szCs w:val="48"/>
              </w:rPr>
            </w:pPr>
            <w:r w:rsidRPr="005B25BA">
              <w:rPr>
                <w:rFonts w:ascii="Times New Roman" w:hAnsi="Times New Roman"/>
              </w:rPr>
              <w:tab/>
            </w:r>
          </w:p>
        </w:tc>
      </w:tr>
      <w:tr w:rsidR="00E53A4C" w:rsidRPr="005B25BA" w14:paraId="3F18A767" w14:textId="77777777" w:rsidTr="00E760EE">
        <w:tc>
          <w:tcPr>
            <w:tcW w:w="5000" w:type="pct"/>
            <w:gridSpan w:val="2"/>
          </w:tcPr>
          <w:p w14:paraId="5CF77E08" w14:textId="77777777" w:rsidR="00E53A4C" w:rsidRPr="005B25BA" w:rsidRDefault="00E53A4C" w:rsidP="00B7589C">
            <w:pPr>
              <w:numPr>
                <w:ilvl w:val="0"/>
                <w:numId w:val="0"/>
              </w:numPr>
              <w:ind w:left="90"/>
              <w:jc w:val="left"/>
              <w:rPr>
                <w:rFonts w:ascii="Times New Roman" w:eastAsia="Tahoma" w:hAnsi="Times New Roman" w:cs="Tahoma"/>
              </w:rPr>
            </w:pPr>
          </w:p>
          <w:p w14:paraId="1DAADE23" w14:textId="77777777" w:rsidR="00E53A4C" w:rsidRPr="005B25BA" w:rsidRDefault="00E53A4C" w:rsidP="00B7589C">
            <w:pPr>
              <w:numPr>
                <w:ilvl w:val="0"/>
                <w:numId w:val="0"/>
              </w:numPr>
              <w:ind w:left="90"/>
              <w:jc w:val="left"/>
              <w:rPr>
                <w:rFonts w:ascii="Times New Roman" w:eastAsia="Tahoma" w:hAnsi="Times New Roman" w:cs="Tahoma"/>
              </w:rPr>
            </w:pPr>
          </w:p>
        </w:tc>
      </w:tr>
      <w:tr w:rsidR="00E53A4C" w:rsidRPr="005B25BA" w14:paraId="227515B9" w14:textId="77777777" w:rsidTr="00BF53E4">
        <w:trPr>
          <w:trHeight w:val="415"/>
        </w:trPr>
        <w:tc>
          <w:tcPr>
            <w:tcW w:w="632" w:type="pct"/>
          </w:tcPr>
          <w:p w14:paraId="2FDAE739" w14:textId="77777777" w:rsidR="00E53A4C" w:rsidRPr="005B25BA" w:rsidRDefault="00E53A4C" w:rsidP="00B7589C">
            <w:pPr>
              <w:numPr>
                <w:ilvl w:val="0"/>
                <w:numId w:val="0"/>
              </w:numPr>
              <w:ind w:left="90"/>
              <w:jc w:val="left"/>
              <w:rPr>
                <w:rFonts w:ascii="Times New Roman" w:eastAsia="Tahoma" w:hAnsi="Times New Roman" w:cs="Tahoma"/>
                <w:u w:val="single"/>
              </w:rPr>
            </w:pPr>
            <w:r w:rsidRPr="005B25BA">
              <w:rPr>
                <w:rFonts w:ascii="Times New Roman" w:eastAsia="Tahoma" w:hAnsi="Times New Roman" w:cs="Tahoma"/>
                <w:u w:val="single"/>
              </w:rPr>
              <w:t>Date:</w:t>
            </w:r>
          </w:p>
        </w:tc>
        <w:tc>
          <w:tcPr>
            <w:tcW w:w="4368" w:type="pct"/>
          </w:tcPr>
          <w:p w14:paraId="7BE53026" w14:textId="77777777" w:rsidR="00E53A4C" w:rsidRPr="005B25BA" w:rsidRDefault="00E53A4C" w:rsidP="00B7589C">
            <w:pPr>
              <w:numPr>
                <w:ilvl w:val="0"/>
                <w:numId w:val="0"/>
              </w:numPr>
              <w:ind w:left="90"/>
              <w:jc w:val="left"/>
              <w:rPr>
                <w:rFonts w:ascii="Times New Roman" w:eastAsia="Tahoma" w:hAnsi="Times New Roman" w:cs="Tahoma"/>
                <w:b/>
              </w:rPr>
            </w:pPr>
            <w:proofErr w:type="gramStart"/>
            <w:r w:rsidRPr="005B25BA">
              <w:rPr>
                <w:rFonts w:ascii="Times New Roman" w:eastAsia="Tahoma" w:hAnsi="Times New Roman" w:cs="Tahoma"/>
                <w:b/>
                <w:bCs/>
              </w:rPr>
              <w:t>5.7  2023</w:t>
            </w:r>
            <w:proofErr w:type="gramEnd"/>
          </w:p>
        </w:tc>
      </w:tr>
      <w:tr w:rsidR="00E53A4C" w:rsidRPr="005B25BA" w14:paraId="76117E46" w14:textId="77777777" w:rsidTr="00BF53E4">
        <w:trPr>
          <w:trHeight w:val="420"/>
        </w:trPr>
        <w:tc>
          <w:tcPr>
            <w:tcW w:w="632" w:type="pct"/>
          </w:tcPr>
          <w:p w14:paraId="00CF0DB0" w14:textId="77777777" w:rsidR="00E53A4C" w:rsidRPr="005B25BA" w:rsidRDefault="00E53A4C" w:rsidP="00B7589C">
            <w:pPr>
              <w:numPr>
                <w:ilvl w:val="0"/>
                <w:numId w:val="0"/>
              </w:numPr>
              <w:ind w:left="90"/>
              <w:jc w:val="left"/>
              <w:rPr>
                <w:rFonts w:ascii="Times New Roman" w:eastAsia="Tahoma" w:hAnsi="Times New Roman" w:cs="Tahoma"/>
                <w:u w:val="single"/>
              </w:rPr>
            </w:pPr>
            <w:r w:rsidRPr="005B25BA">
              <w:rPr>
                <w:rFonts w:ascii="Times New Roman" w:eastAsia="Tahoma" w:hAnsi="Times New Roman" w:cs="Tahoma"/>
                <w:u w:val="single"/>
              </w:rPr>
              <w:t>Version:</w:t>
            </w:r>
          </w:p>
        </w:tc>
        <w:tc>
          <w:tcPr>
            <w:tcW w:w="4368" w:type="pct"/>
          </w:tcPr>
          <w:p w14:paraId="224CC440" w14:textId="77777777" w:rsidR="00E53A4C" w:rsidRPr="005B25BA" w:rsidRDefault="00E53A4C" w:rsidP="00B7589C">
            <w:pPr>
              <w:numPr>
                <w:ilvl w:val="0"/>
                <w:numId w:val="0"/>
              </w:numPr>
              <w:ind w:left="90"/>
              <w:jc w:val="left"/>
              <w:rPr>
                <w:rFonts w:ascii="Times New Roman" w:eastAsia="Tahoma" w:hAnsi="Times New Roman" w:cs="Tahoma"/>
                <w:b/>
              </w:rPr>
            </w:pPr>
            <w:r w:rsidRPr="005B25BA">
              <w:rPr>
                <w:rFonts w:ascii="Times New Roman" w:eastAsia="Tahoma" w:hAnsi="Times New Roman" w:cs="Tahoma"/>
                <w:b/>
                <w:bCs/>
              </w:rPr>
              <w:t>5.0</w:t>
            </w:r>
          </w:p>
        </w:tc>
      </w:tr>
      <w:tr w:rsidR="00E53A4C" w:rsidRPr="005B25BA" w14:paraId="0EF91FC2" w14:textId="77777777" w:rsidTr="00E760EE">
        <w:tc>
          <w:tcPr>
            <w:tcW w:w="5000" w:type="pct"/>
            <w:gridSpan w:val="2"/>
          </w:tcPr>
          <w:p w14:paraId="18264386" w14:textId="77777777" w:rsidR="00E53A4C" w:rsidRPr="005B25BA" w:rsidRDefault="00E53A4C" w:rsidP="00B7589C">
            <w:pPr>
              <w:numPr>
                <w:ilvl w:val="0"/>
                <w:numId w:val="0"/>
              </w:numPr>
              <w:ind w:left="90"/>
              <w:jc w:val="left"/>
              <w:rPr>
                <w:rFonts w:ascii="Times New Roman" w:eastAsia="Tahoma" w:hAnsi="Times New Roman" w:cs="Tahoma"/>
              </w:rPr>
            </w:pPr>
          </w:p>
        </w:tc>
      </w:tr>
    </w:tbl>
    <w:p w14:paraId="199A4B93" w14:textId="77777777" w:rsidR="00E53A4C" w:rsidRPr="005B25BA" w:rsidRDefault="00E53A4C" w:rsidP="00B7589C">
      <w:pPr>
        <w:widowControl w:val="0"/>
        <w:numPr>
          <w:ilvl w:val="0"/>
          <w:numId w:val="0"/>
        </w:numPr>
        <w:pBdr>
          <w:top w:val="nil"/>
          <w:left w:val="nil"/>
          <w:bottom w:val="nil"/>
          <w:right w:val="nil"/>
          <w:between w:val="nil"/>
        </w:pBdr>
        <w:ind w:left="90"/>
        <w:jc w:val="left"/>
        <w:rPr>
          <w:rFonts w:ascii="Times New Roman" w:eastAsia="Tahoma" w:hAnsi="Times New Roman" w:cs="Tahoma"/>
          <w:b/>
          <w:sz w:val="36"/>
          <w:szCs w:val="36"/>
          <w:u w:val="single"/>
        </w:rPr>
      </w:pPr>
      <w:r w:rsidRPr="005B25BA">
        <w:rPr>
          <w:rFonts w:ascii="Times New Roman" w:eastAsia="Tahoma" w:hAnsi="Times New Roman" w:cs="Tahoma"/>
          <w:b/>
          <w:bCs/>
          <w:sz w:val="36"/>
          <w:szCs w:val="36"/>
          <w:u w:val="single"/>
        </w:rPr>
        <w:t>Table of contents:</w:t>
      </w:r>
    </w:p>
    <w:sdt>
      <w:sdtPr>
        <w:rPr>
          <w:rFonts w:ascii="Times New Roman" w:eastAsiaTheme="minorHAnsi" w:hAnsi="Times New Roman" w:cstheme="minorBidi"/>
          <w:noProof w:val="0"/>
          <w:sz w:val="22"/>
          <w:szCs w:val="22"/>
          <w14:ligatures w14:val="standardContextual"/>
        </w:rPr>
        <w:id w:val="-1030259291"/>
        <w:docPartObj>
          <w:docPartGallery w:val="Table of Contents"/>
          <w:docPartUnique/>
        </w:docPartObj>
      </w:sdtPr>
      <w:sdtEndPr>
        <w:rPr>
          <w:rFonts w:cs="David"/>
          <w:sz w:val="24"/>
          <w:szCs w:val="24"/>
        </w:rPr>
      </w:sdtEndPr>
      <w:sdtContent>
        <w:p w14:paraId="4F52117B" w14:textId="23BC403B" w:rsidR="00E53A4C" w:rsidRPr="005B25BA" w:rsidRDefault="00E53A4C" w:rsidP="00B7589C">
          <w:pPr>
            <w:pStyle w:val="TOC1"/>
            <w:bidi w:val="0"/>
            <w:ind w:left="90"/>
            <w:rPr>
              <w:rFonts w:ascii="Times New Roman" w:hAnsi="Times New Roman" w:cstheme="minorBidi"/>
              <w:kern w:val="2"/>
              <w:lang w:bidi="ar-SA"/>
              <w14:ligatures w14:val="standardContextual"/>
            </w:rPr>
          </w:pPr>
          <w:r w:rsidRPr="005B25BA">
            <w:rPr>
              <w:rFonts w:ascii="Times New Roman" w:hAnsi="Times New Roman"/>
            </w:rPr>
            <w:fldChar w:fldCharType="begin"/>
          </w:r>
          <w:r w:rsidRPr="005B25BA">
            <w:rPr>
              <w:rFonts w:ascii="Times New Roman" w:hAnsi="Times New Roman"/>
            </w:rPr>
            <w:instrText xml:space="preserve"> TOC \h \u \z \t "Heading 1,1,Heading 2,2,"</w:instrText>
          </w:r>
          <w:r w:rsidRPr="005B25BA">
            <w:rPr>
              <w:rFonts w:ascii="Times New Roman" w:hAnsi="Times New Roman"/>
            </w:rPr>
            <w:fldChar w:fldCharType="separate"/>
          </w:r>
          <w:hyperlink w:anchor="_Toc172999002" w:history="1">
            <w:r w:rsidRPr="005B25BA">
              <w:rPr>
                <w:rStyle w:val="Hyperlink"/>
                <w:rFonts w:ascii="Times New Roman" w:eastAsia="Tahoma" w:hAnsi="Times New Roman"/>
              </w:rPr>
              <w:t>1.</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General</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_Toc172999002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265</w:t>
            </w:r>
            <w:r w:rsidRPr="005B25BA">
              <w:rPr>
                <w:rFonts w:ascii="Times New Roman" w:hAnsi="Times New Roman"/>
                <w:webHidden/>
              </w:rPr>
              <w:fldChar w:fldCharType="end"/>
            </w:r>
          </w:hyperlink>
        </w:p>
        <w:p w14:paraId="1A7575AD" w14:textId="6FFA2DE4" w:rsidR="00E53A4C" w:rsidRPr="005B25BA" w:rsidRDefault="00E53A4C" w:rsidP="00B7589C">
          <w:pPr>
            <w:pStyle w:val="TOC1"/>
            <w:bidi w:val="0"/>
            <w:ind w:left="90"/>
            <w:rPr>
              <w:rFonts w:ascii="Times New Roman" w:hAnsi="Times New Roman" w:cstheme="minorBidi"/>
              <w:kern w:val="2"/>
              <w:lang w:bidi="ar-SA"/>
              <w14:ligatures w14:val="standardContextual"/>
            </w:rPr>
          </w:pPr>
          <w:hyperlink w:anchor="_Toc172999003" w:history="1">
            <w:r w:rsidRPr="005B25BA">
              <w:rPr>
                <w:rStyle w:val="Hyperlink"/>
                <w:rFonts w:ascii="Times New Roman" w:eastAsia="Tahoma" w:hAnsi="Times New Roman"/>
              </w:rPr>
              <w:t>2.</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Backup scheduling</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_Toc172999003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266</w:t>
            </w:r>
            <w:r w:rsidRPr="005B25BA">
              <w:rPr>
                <w:rFonts w:ascii="Times New Roman" w:hAnsi="Times New Roman"/>
                <w:webHidden/>
              </w:rPr>
              <w:fldChar w:fldCharType="end"/>
            </w:r>
          </w:hyperlink>
        </w:p>
        <w:p w14:paraId="27302718" w14:textId="297603E7" w:rsidR="00E53A4C" w:rsidRPr="005B25BA" w:rsidRDefault="00E53A4C" w:rsidP="00B7589C">
          <w:pPr>
            <w:pStyle w:val="TOC1"/>
            <w:bidi w:val="0"/>
            <w:ind w:left="90"/>
            <w:rPr>
              <w:rFonts w:ascii="Times New Roman" w:hAnsi="Times New Roman" w:cstheme="minorBidi"/>
              <w:kern w:val="2"/>
              <w:lang w:bidi="ar-SA"/>
              <w14:ligatures w14:val="standardContextual"/>
            </w:rPr>
          </w:pPr>
          <w:hyperlink w:anchor="_Toc172999004" w:history="1">
            <w:r w:rsidRPr="005B25BA">
              <w:rPr>
                <w:rStyle w:val="Hyperlink"/>
                <w:rFonts w:ascii="Times New Roman" w:eastAsia="Tahoma" w:hAnsi="Times New Roman"/>
              </w:rPr>
              <w:t>3.</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Connection and linking to storage systems</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_Toc172999004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266</w:t>
            </w:r>
            <w:r w:rsidRPr="005B25BA">
              <w:rPr>
                <w:rFonts w:ascii="Times New Roman" w:hAnsi="Times New Roman"/>
                <w:webHidden/>
              </w:rPr>
              <w:fldChar w:fldCharType="end"/>
            </w:r>
          </w:hyperlink>
        </w:p>
        <w:p w14:paraId="7D5894DD" w14:textId="71CEFBB3" w:rsidR="00E53A4C" w:rsidRPr="005B25BA" w:rsidRDefault="00E53A4C" w:rsidP="00B7589C">
          <w:pPr>
            <w:pStyle w:val="TOC1"/>
            <w:bidi w:val="0"/>
            <w:ind w:left="90"/>
            <w:rPr>
              <w:rFonts w:ascii="Times New Roman" w:hAnsi="Times New Roman" w:cstheme="minorBidi"/>
              <w:kern w:val="2"/>
              <w:lang w:bidi="ar-SA"/>
              <w14:ligatures w14:val="standardContextual"/>
            </w:rPr>
          </w:pPr>
          <w:hyperlink w:anchor="_Toc172999005" w:history="1">
            <w:r w:rsidRPr="005B25BA">
              <w:rPr>
                <w:rStyle w:val="Hyperlink"/>
                <w:rFonts w:ascii="Times New Roman" w:eastAsia="Tahoma" w:hAnsi="Times New Roman"/>
              </w:rPr>
              <w:t>4.</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Methods and recommendation for information backup</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_Toc172999005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266</w:t>
            </w:r>
            <w:r w:rsidRPr="005B25BA">
              <w:rPr>
                <w:rFonts w:ascii="Times New Roman" w:hAnsi="Times New Roman"/>
                <w:webHidden/>
              </w:rPr>
              <w:fldChar w:fldCharType="end"/>
            </w:r>
          </w:hyperlink>
        </w:p>
        <w:p w14:paraId="4A53D79F" w14:textId="4D89D308" w:rsidR="00E53A4C" w:rsidRPr="005B25BA" w:rsidRDefault="00E53A4C" w:rsidP="00B7589C">
          <w:pPr>
            <w:pStyle w:val="TOC1"/>
            <w:bidi w:val="0"/>
            <w:ind w:left="90"/>
            <w:rPr>
              <w:rFonts w:ascii="Times New Roman" w:hAnsi="Times New Roman" w:cstheme="minorBidi"/>
              <w:kern w:val="2"/>
              <w:lang w:bidi="ar-SA"/>
              <w14:ligatures w14:val="standardContextual"/>
            </w:rPr>
          </w:pPr>
          <w:hyperlink w:anchor="_Toc172999006" w:history="1">
            <w:r w:rsidRPr="005B25BA">
              <w:rPr>
                <w:rStyle w:val="Hyperlink"/>
                <w:rFonts w:ascii="Times New Roman" w:eastAsia="Tahoma" w:hAnsi="Times New Roman"/>
              </w:rPr>
              <w:t>5.</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Keeping of backups (retention)</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_Toc172999006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268</w:t>
            </w:r>
            <w:r w:rsidRPr="005B25BA">
              <w:rPr>
                <w:rFonts w:ascii="Times New Roman" w:hAnsi="Times New Roman"/>
                <w:webHidden/>
              </w:rPr>
              <w:fldChar w:fldCharType="end"/>
            </w:r>
          </w:hyperlink>
        </w:p>
        <w:p w14:paraId="0D83D9FD" w14:textId="138DDD9F" w:rsidR="00E53A4C" w:rsidRPr="005B25BA" w:rsidRDefault="00E53A4C" w:rsidP="00B7589C">
          <w:pPr>
            <w:pStyle w:val="TOC1"/>
            <w:bidi w:val="0"/>
            <w:ind w:left="90"/>
            <w:rPr>
              <w:rFonts w:ascii="Times New Roman" w:hAnsi="Times New Roman" w:cstheme="minorBidi"/>
              <w:kern w:val="2"/>
              <w:lang w:bidi="ar-SA"/>
              <w14:ligatures w14:val="standardContextual"/>
            </w:rPr>
          </w:pPr>
          <w:hyperlink w:anchor="_Toc172999007" w:history="1">
            <w:r w:rsidRPr="005B25BA">
              <w:rPr>
                <w:rStyle w:val="Hyperlink"/>
                <w:rFonts w:ascii="Times New Roman" w:eastAsia="Tahoma" w:hAnsi="Times New Roman"/>
              </w:rPr>
              <w:t>6.</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Reports and review</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_Toc172999007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269</w:t>
            </w:r>
            <w:r w:rsidRPr="005B25BA">
              <w:rPr>
                <w:rFonts w:ascii="Times New Roman" w:hAnsi="Times New Roman"/>
                <w:webHidden/>
              </w:rPr>
              <w:fldChar w:fldCharType="end"/>
            </w:r>
          </w:hyperlink>
        </w:p>
        <w:p w14:paraId="164E6F9E" w14:textId="606E7D9C" w:rsidR="00E53A4C" w:rsidRPr="005B25BA" w:rsidRDefault="00E53A4C" w:rsidP="00B7589C">
          <w:pPr>
            <w:pStyle w:val="TOC1"/>
            <w:bidi w:val="0"/>
            <w:ind w:left="90"/>
            <w:rPr>
              <w:rFonts w:ascii="Times New Roman" w:hAnsi="Times New Roman" w:cstheme="minorBidi"/>
              <w:kern w:val="2"/>
              <w:lang w:bidi="ar-SA"/>
              <w14:ligatures w14:val="standardContextual"/>
            </w:rPr>
          </w:pPr>
          <w:hyperlink w:anchor="_Toc172999008" w:history="1">
            <w:r w:rsidRPr="005B25BA">
              <w:rPr>
                <w:rStyle w:val="Hyperlink"/>
                <w:rFonts w:ascii="Times New Roman" w:eastAsia="Tahoma" w:hAnsi="Times New Roman"/>
              </w:rPr>
              <w:t>7.</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Backup of databases</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_Toc172999008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269</w:t>
            </w:r>
            <w:r w:rsidRPr="005B25BA">
              <w:rPr>
                <w:rFonts w:ascii="Times New Roman" w:hAnsi="Times New Roman"/>
                <w:webHidden/>
              </w:rPr>
              <w:fldChar w:fldCharType="end"/>
            </w:r>
          </w:hyperlink>
        </w:p>
        <w:p w14:paraId="5A1CB66C" w14:textId="674463DA" w:rsidR="00E53A4C" w:rsidRPr="005B25BA" w:rsidRDefault="00E53A4C" w:rsidP="00B7589C">
          <w:pPr>
            <w:pStyle w:val="TOC1"/>
            <w:bidi w:val="0"/>
            <w:ind w:left="90"/>
            <w:rPr>
              <w:rFonts w:ascii="Times New Roman" w:hAnsi="Times New Roman" w:cstheme="minorBidi"/>
              <w:kern w:val="2"/>
              <w:lang w:bidi="ar-SA"/>
              <w14:ligatures w14:val="standardContextual"/>
            </w:rPr>
          </w:pPr>
          <w:hyperlink w:anchor="_Toc172999009" w:history="1">
            <w:r w:rsidRPr="005B25BA">
              <w:rPr>
                <w:rStyle w:val="Hyperlink"/>
                <w:rFonts w:ascii="Times New Roman" w:eastAsia="Tahoma" w:hAnsi="Times New Roman"/>
              </w:rPr>
              <w:t>8.</w:t>
            </w:r>
            <w:r w:rsidRPr="005B25BA">
              <w:rPr>
                <w:rFonts w:ascii="Times New Roman" w:hAnsi="Times New Roman" w:cstheme="minorBidi"/>
                <w:kern w:val="2"/>
                <w:lang w:bidi="ar-SA"/>
                <w14:ligatures w14:val="standardContextual"/>
              </w:rPr>
              <w:tab/>
            </w:r>
            <w:r w:rsidRPr="005B25BA">
              <w:rPr>
                <w:rStyle w:val="Hyperlink"/>
                <w:rFonts w:ascii="Times New Roman" w:eastAsia="Tahoma" w:hAnsi="Times New Roman"/>
              </w:rPr>
              <w:t>Backup on AWS cloud</w:t>
            </w:r>
            <w:r w:rsidRPr="005B25BA">
              <w:rPr>
                <w:rFonts w:ascii="Times New Roman" w:hAnsi="Times New Roman"/>
                <w:webHidden/>
              </w:rPr>
              <w:tab/>
            </w:r>
            <w:r w:rsidRPr="005B25BA">
              <w:rPr>
                <w:rFonts w:ascii="Times New Roman" w:hAnsi="Times New Roman"/>
                <w:webHidden/>
              </w:rPr>
              <w:fldChar w:fldCharType="begin"/>
            </w:r>
            <w:r w:rsidRPr="005B25BA">
              <w:rPr>
                <w:rFonts w:ascii="Times New Roman" w:hAnsi="Times New Roman"/>
                <w:webHidden/>
              </w:rPr>
              <w:instrText xml:space="preserve"> PAGEREF _Toc172999009 \h </w:instrText>
            </w:r>
            <w:r w:rsidRPr="005B25BA">
              <w:rPr>
                <w:rFonts w:ascii="Times New Roman" w:hAnsi="Times New Roman"/>
                <w:webHidden/>
              </w:rPr>
            </w:r>
            <w:r w:rsidRPr="005B25BA">
              <w:rPr>
                <w:rFonts w:ascii="Times New Roman" w:hAnsi="Times New Roman"/>
                <w:webHidden/>
              </w:rPr>
              <w:fldChar w:fldCharType="separate"/>
            </w:r>
            <w:r w:rsidR="00605D4D">
              <w:rPr>
                <w:rFonts w:ascii="Times New Roman" w:hAnsi="Times New Roman"/>
                <w:webHidden/>
              </w:rPr>
              <w:t>272</w:t>
            </w:r>
            <w:r w:rsidRPr="005B25BA">
              <w:rPr>
                <w:rFonts w:ascii="Times New Roman" w:hAnsi="Times New Roman"/>
                <w:webHidden/>
              </w:rPr>
              <w:fldChar w:fldCharType="end"/>
            </w:r>
          </w:hyperlink>
        </w:p>
        <w:p w14:paraId="1A8F25A7" w14:textId="77777777" w:rsidR="00E53A4C" w:rsidRPr="005B25BA" w:rsidRDefault="00E53A4C" w:rsidP="00B7589C">
          <w:pPr>
            <w:numPr>
              <w:ilvl w:val="0"/>
              <w:numId w:val="0"/>
            </w:numPr>
            <w:shd w:val="clear" w:color="auto" w:fill="FFFFFF"/>
            <w:spacing w:after="45"/>
            <w:ind w:left="90"/>
            <w:jc w:val="left"/>
            <w:rPr>
              <w:rFonts w:ascii="Times New Roman" w:eastAsia="Tahoma" w:hAnsi="Times New Roman" w:cs="Tahoma"/>
            </w:rPr>
          </w:pPr>
          <w:r w:rsidRPr="005B25BA">
            <w:rPr>
              <w:rFonts w:ascii="Times New Roman" w:hAnsi="Times New Roman"/>
            </w:rPr>
            <w:fldChar w:fldCharType="end"/>
          </w:r>
        </w:p>
      </w:sdtContent>
    </w:sdt>
    <w:p w14:paraId="00A43809" w14:textId="77777777" w:rsidR="00E53A4C" w:rsidRPr="005B25BA" w:rsidRDefault="00E53A4C" w:rsidP="005B6F56">
      <w:pPr>
        <w:numPr>
          <w:ilvl w:val="0"/>
          <w:numId w:val="0"/>
        </w:numPr>
        <w:spacing w:line="240" w:lineRule="auto"/>
        <w:ind w:left="-1080"/>
        <w:jc w:val="left"/>
        <w:rPr>
          <w:rFonts w:ascii="Times New Roman" w:eastAsia="Tahoma" w:hAnsi="Times New Roman" w:cs="Tahoma"/>
        </w:rPr>
      </w:pPr>
      <w:r w:rsidRPr="005B25BA">
        <w:rPr>
          <w:rFonts w:ascii="Times New Roman" w:hAnsi="Times New Roman"/>
        </w:rPr>
        <w:br w:type="page"/>
      </w:r>
    </w:p>
    <w:p w14:paraId="370665DF" w14:textId="77777777" w:rsidR="00E53A4C" w:rsidRPr="005B25BA" w:rsidRDefault="00E53A4C" w:rsidP="005B6F56">
      <w:pPr>
        <w:pStyle w:val="Heading1"/>
        <w:numPr>
          <w:ilvl w:val="0"/>
          <w:numId w:val="0"/>
        </w:numPr>
        <w:ind w:left="-1080"/>
        <w:jc w:val="left"/>
        <w:rPr>
          <w:rFonts w:ascii="Times New Roman" w:eastAsia="Tahoma" w:hAnsi="Times New Roman" w:cs="Tahoma"/>
          <w:color w:val="000000"/>
          <w:sz w:val="23"/>
          <w:szCs w:val="23"/>
          <w:u w:val="single"/>
        </w:rPr>
      </w:pPr>
    </w:p>
    <w:p w14:paraId="0B7EE320" w14:textId="77777777" w:rsidR="00E53A4C" w:rsidRPr="00EE415E" w:rsidRDefault="00E53A4C" w:rsidP="00EE415E">
      <w:pPr>
        <w:tabs>
          <w:tab w:val="clear" w:pos="6480"/>
        </w:tabs>
        <w:ind w:left="0"/>
        <w:jc w:val="left"/>
        <w:rPr>
          <w:b/>
          <w:bCs/>
        </w:rPr>
      </w:pPr>
      <w:bookmarkStart w:id="7" w:name="_Toc172999002"/>
      <w:r w:rsidRPr="00EE415E">
        <w:rPr>
          <w:b/>
          <w:bCs/>
        </w:rPr>
        <w:t>General</w:t>
      </w:r>
      <w:bookmarkEnd w:id="7"/>
      <w:r w:rsidRPr="00EE415E">
        <w:rPr>
          <w:b/>
          <w:bCs/>
        </w:rPr>
        <w:t xml:space="preserve"> </w:t>
      </w:r>
    </w:p>
    <w:p w14:paraId="1DDBE9AA"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The term data backup refers to an action of copying information so that these copies may be used to restore the original information after an event of the information being lost. These copies are called backups. Backups are useful primarily in two cases: to restore a computer to being operable again after a disaster (disaster recovery) and for restoring a number of specific files after they have been deleted or corrupted.</w:t>
      </w:r>
    </w:p>
    <w:p w14:paraId="189FEA97"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Every backup strategy begins with the principle of backing up the information. The data that is backed up must be stored in some place and must be organized to a certain extent. </w:t>
      </w:r>
      <w:r w:rsidRPr="005B25BA">
        <w:rPr>
          <w:rFonts w:ascii="Times New Roman" w:eastAsia="Tahoma" w:hAnsi="Times New Roman" w:cs="Tahoma"/>
          <w:sz w:val="23"/>
          <w:szCs w:val="23"/>
        </w:rPr>
        <w:br/>
      </w:r>
      <w:r w:rsidRPr="005B25BA">
        <w:rPr>
          <w:rFonts w:ascii="Times New Roman" w:eastAsia="Tahoma" w:hAnsi="Times New Roman" w:cs="Tahoma"/>
          <w:sz w:val="23"/>
          <w:szCs w:val="23"/>
        </w:rPr>
        <w:br/>
        <w:t>Goals:</w:t>
      </w:r>
    </w:p>
    <w:p w14:paraId="49F74F70"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u w:val="single"/>
        </w:rPr>
      </w:pPr>
      <w:r w:rsidRPr="005B25BA">
        <w:rPr>
          <w:rFonts w:ascii="Times New Roman" w:eastAsia="Tahoma" w:hAnsi="Times New Roman" w:cs="Tahoma"/>
          <w:sz w:val="23"/>
          <w:szCs w:val="23"/>
          <w:u w:val="single"/>
        </w:rPr>
        <w:t>Recovery Point Objective - RPO</w:t>
      </w:r>
    </w:p>
    <w:p w14:paraId="2FAF5873"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The point in time that the restored system will reflect. The ideal state is for the RPO to be at the exact moment preceding the loss of information event. By making backups at a greater frequency, the ideal state may be approached.</w:t>
      </w:r>
    </w:p>
    <w:p w14:paraId="74E108AB"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7816809A"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u w:val="single"/>
        </w:rPr>
      </w:pPr>
      <w:r w:rsidRPr="005B25BA">
        <w:rPr>
          <w:rFonts w:ascii="Times New Roman" w:eastAsia="Tahoma" w:hAnsi="Times New Roman" w:cs="Tahoma"/>
          <w:sz w:val="23"/>
          <w:szCs w:val="23"/>
          <w:u w:val="single"/>
        </w:rPr>
        <w:t>Recovery Time Objective - RTO</w:t>
      </w:r>
    </w:p>
    <w:p w14:paraId="12509726"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The time that passes between the disaster and the restoration of the information and return to normal activity.</w:t>
      </w:r>
    </w:p>
    <w:p w14:paraId="38C34261"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35D65835"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u w:val="single"/>
        </w:rPr>
      </w:pPr>
      <w:r w:rsidRPr="005B25BA">
        <w:rPr>
          <w:rFonts w:ascii="Times New Roman" w:eastAsia="Tahoma" w:hAnsi="Times New Roman" w:cs="Tahoma"/>
          <w:sz w:val="23"/>
          <w:szCs w:val="23"/>
          <w:u w:val="single"/>
        </w:rPr>
        <w:t>Data security</w:t>
      </w:r>
    </w:p>
    <w:p w14:paraId="7B02C257"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In addition to providing access to information by the information owner, unauthorized access to information must be restricted. A backup must be done in such a manner as not to endanger the information, which may be achieved by encrypting the information and correct handling of the media on which the backup is stored.</w:t>
      </w:r>
    </w:p>
    <w:p w14:paraId="33E682AF"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2D304FD0"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3172A90B" w14:textId="77777777" w:rsidR="00E53A4C" w:rsidRPr="005B25BA" w:rsidRDefault="00E53A4C" w:rsidP="00B7589C">
      <w:pPr>
        <w:numPr>
          <w:ilvl w:val="0"/>
          <w:numId w:val="0"/>
        </w:numPr>
        <w:spacing w:line="240" w:lineRule="auto"/>
        <w:jc w:val="left"/>
        <w:rPr>
          <w:rFonts w:ascii="Times New Roman" w:eastAsia="Tahoma" w:hAnsi="Times New Roman" w:cs="Tahoma"/>
          <w:b/>
          <w:sz w:val="23"/>
          <w:szCs w:val="23"/>
          <w:u w:val="single"/>
        </w:rPr>
      </w:pPr>
      <w:r w:rsidRPr="005B25BA">
        <w:rPr>
          <w:rFonts w:ascii="Times New Roman" w:hAnsi="Times New Roman"/>
        </w:rPr>
        <w:br w:type="page"/>
      </w:r>
    </w:p>
    <w:p w14:paraId="16CBD39B" w14:textId="77777777" w:rsidR="00E53A4C" w:rsidRPr="005B25BA" w:rsidRDefault="00E53A4C" w:rsidP="00B7589C">
      <w:pPr>
        <w:numPr>
          <w:ilvl w:val="0"/>
          <w:numId w:val="0"/>
        </w:numPr>
        <w:shd w:val="clear" w:color="auto" w:fill="FFFFFF"/>
        <w:spacing w:after="45"/>
        <w:jc w:val="left"/>
        <w:rPr>
          <w:rFonts w:ascii="Times New Roman" w:eastAsia="Tahoma" w:hAnsi="Times New Roman" w:cs="Tahoma"/>
          <w:b/>
          <w:sz w:val="23"/>
          <w:szCs w:val="23"/>
          <w:u w:val="single"/>
        </w:rPr>
      </w:pPr>
    </w:p>
    <w:p w14:paraId="24819529" w14:textId="77777777" w:rsidR="00E53A4C" w:rsidRPr="00EE415E" w:rsidRDefault="00E53A4C" w:rsidP="00EE415E">
      <w:pPr>
        <w:tabs>
          <w:tab w:val="clear" w:pos="6480"/>
        </w:tabs>
        <w:ind w:left="0"/>
        <w:jc w:val="left"/>
        <w:rPr>
          <w:b/>
          <w:bCs/>
        </w:rPr>
      </w:pPr>
      <w:bookmarkStart w:id="8" w:name="_Toc172999003"/>
      <w:r w:rsidRPr="00EE415E">
        <w:rPr>
          <w:b/>
          <w:bCs/>
        </w:rPr>
        <w:t>Backup scheduling</w:t>
      </w:r>
      <w:bookmarkEnd w:id="8"/>
    </w:p>
    <w:p w14:paraId="1A44140C"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The backups will be done at nighttime and on weekends, because the backup burdens the access to the disks and slows down the work rate. </w:t>
      </w:r>
    </w:p>
    <w:p w14:paraId="40C1D525"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671ABC8A" w14:textId="77777777" w:rsidR="00E53A4C" w:rsidRPr="00EE415E" w:rsidRDefault="00E53A4C" w:rsidP="00EE415E">
      <w:pPr>
        <w:tabs>
          <w:tab w:val="clear" w:pos="6480"/>
        </w:tabs>
        <w:ind w:left="0"/>
        <w:jc w:val="left"/>
        <w:rPr>
          <w:b/>
          <w:bCs/>
        </w:rPr>
      </w:pPr>
      <w:bookmarkStart w:id="9" w:name="_Toc172999004"/>
      <w:r w:rsidRPr="00EE415E">
        <w:rPr>
          <w:b/>
          <w:bCs/>
        </w:rPr>
        <w:t>Connection and linking to storage systems</w:t>
      </w:r>
      <w:bookmarkEnd w:id="9"/>
      <w:r w:rsidRPr="00EE415E">
        <w:rPr>
          <w:b/>
          <w:bCs/>
        </w:rPr>
        <w:t xml:space="preserve">  </w:t>
      </w:r>
    </w:p>
    <w:p w14:paraId="07BFDAA5"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According to the recommendations of the manufacturer, it is recommended to connect to the storage systems using the fastest connection methods and protocols existing, in order to get high performance in backup with a minimum of disturbance to and noise on the network.</w:t>
      </w:r>
    </w:p>
    <w:p w14:paraId="66339D9E"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NAS - connection by NDMP</w:t>
      </w:r>
    </w:p>
    <w:p w14:paraId="6532A0A5"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SAN connection by ISCSI / fiber channel </w:t>
      </w:r>
    </w:p>
    <w:p w14:paraId="6249C982"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43C46BD3"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61695132" w14:textId="77777777" w:rsidR="00E53A4C" w:rsidRPr="00EE415E" w:rsidRDefault="00E53A4C" w:rsidP="00EE415E">
      <w:pPr>
        <w:tabs>
          <w:tab w:val="clear" w:pos="6480"/>
        </w:tabs>
        <w:ind w:left="0"/>
        <w:jc w:val="left"/>
        <w:rPr>
          <w:b/>
          <w:bCs/>
        </w:rPr>
      </w:pPr>
      <w:bookmarkStart w:id="10" w:name="_Toc172999005"/>
      <w:r w:rsidRPr="00EE415E">
        <w:rPr>
          <w:b/>
          <w:bCs/>
        </w:rPr>
        <w:t>Methods and recommendation for information backup</w:t>
      </w:r>
      <w:bookmarkEnd w:id="10"/>
      <w:r w:rsidRPr="00EE415E">
        <w:rPr>
          <w:b/>
          <w:bCs/>
        </w:rPr>
        <w:t xml:space="preserve"> </w:t>
      </w:r>
    </w:p>
    <w:p w14:paraId="205CD950"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250985FD"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Full + </w:t>
      </w:r>
      <w:proofErr w:type="spellStart"/>
      <w:r w:rsidRPr="005B25BA">
        <w:rPr>
          <w:rFonts w:ascii="Times New Roman" w:eastAsia="Tahoma" w:hAnsi="Times New Roman" w:cs="Tahoma"/>
          <w:sz w:val="23"/>
          <w:szCs w:val="23"/>
        </w:rPr>
        <w:t>Incrementals</w:t>
      </w:r>
      <w:proofErr w:type="spellEnd"/>
    </w:p>
    <w:p w14:paraId="79661007"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The main purpose of using this type of information backup is allowing for storage of multiple copies of the information being backed up. At the first stage, a full backup of the information is done, after which incremental backup is done – only files that have been modified since the last backup will be backed up. Restoration of a whole system to a certain point in time requires finding the last full backup made before the desired point in time and all incremental backups made since then up to the desired point in time. This backup type ensures a high level of confidence that the information required may be restored, but its disadvantage is the long restoration process and the high storage requirement.</w:t>
      </w:r>
    </w:p>
    <w:p w14:paraId="5B81C391"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1C388897"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Full + Differential</w:t>
      </w:r>
    </w:p>
    <w:p w14:paraId="3FDCC672"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This type of information backup differs from the previous type insofar as Full + </w:t>
      </w:r>
      <w:proofErr w:type="spellStart"/>
      <w:r w:rsidRPr="005B25BA">
        <w:rPr>
          <w:rFonts w:ascii="Times New Roman" w:eastAsia="Tahoma" w:hAnsi="Times New Roman" w:cs="Tahoma"/>
          <w:sz w:val="23"/>
          <w:szCs w:val="23"/>
        </w:rPr>
        <w:t>Incrementals</w:t>
      </w:r>
      <w:proofErr w:type="spellEnd"/>
      <w:r w:rsidRPr="005B25BA">
        <w:rPr>
          <w:rFonts w:ascii="Times New Roman" w:eastAsia="Tahoma" w:hAnsi="Times New Roman" w:cs="Tahoma"/>
          <w:sz w:val="23"/>
          <w:szCs w:val="23"/>
        </w:rPr>
        <w:t xml:space="preserve"> backup backs up the increments since the last </w:t>
      </w:r>
      <w:proofErr w:type="spellStart"/>
      <w:r w:rsidRPr="005B25BA">
        <w:rPr>
          <w:rFonts w:ascii="Times New Roman" w:eastAsia="Tahoma" w:hAnsi="Times New Roman" w:cs="Tahoma"/>
          <w:sz w:val="23"/>
          <w:szCs w:val="23"/>
        </w:rPr>
        <w:t>incrementals</w:t>
      </w:r>
      <w:proofErr w:type="spellEnd"/>
      <w:r w:rsidRPr="005B25BA">
        <w:rPr>
          <w:rFonts w:ascii="Times New Roman" w:eastAsia="Tahoma" w:hAnsi="Times New Roman" w:cs="Tahoma"/>
          <w:sz w:val="23"/>
          <w:szCs w:val="23"/>
        </w:rPr>
        <w:t xml:space="preserve"> backup whereas the Full + Differential backup type backs up the changes since the last full backup, although most </w:t>
      </w:r>
      <w:r w:rsidRPr="005B25BA">
        <w:rPr>
          <w:rFonts w:ascii="Times New Roman" w:eastAsia="Tahoma" w:hAnsi="Times New Roman" w:cs="Tahoma"/>
          <w:sz w:val="23"/>
          <w:szCs w:val="23"/>
        </w:rPr>
        <w:lastRenderedPageBreak/>
        <w:t>backed up information may be identical to the information backed up in the last changes backup. The advantage in this information backup is that the information restoration requires only the last full restoration followed by the last changes restoration (even if there are many change backups between them).</w:t>
      </w:r>
    </w:p>
    <w:p w14:paraId="13B5E918"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tbl>
      <w:tblPr>
        <w:tblW w:w="9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
        <w:gridCol w:w="981"/>
        <w:gridCol w:w="828"/>
        <w:gridCol w:w="1242"/>
        <w:gridCol w:w="974"/>
        <w:gridCol w:w="828"/>
        <w:gridCol w:w="1101"/>
        <w:gridCol w:w="1099"/>
        <w:gridCol w:w="1313"/>
      </w:tblGrid>
      <w:tr w:rsidR="00E53A4C" w:rsidRPr="005B25BA" w14:paraId="0CB3049D" w14:textId="77777777" w:rsidTr="00E760EE">
        <w:tc>
          <w:tcPr>
            <w:tcW w:w="999" w:type="dxa"/>
          </w:tcPr>
          <w:p w14:paraId="7AE7BCFE"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b/>
                <w:bCs/>
                <w:sz w:val="23"/>
                <w:szCs w:val="23"/>
              </w:rPr>
              <w:t>Backup type</w:t>
            </w:r>
          </w:p>
        </w:tc>
        <w:tc>
          <w:tcPr>
            <w:tcW w:w="1809" w:type="dxa"/>
            <w:gridSpan w:val="2"/>
          </w:tcPr>
          <w:p w14:paraId="274A451A"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b/>
                <w:bCs/>
                <w:sz w:val="23"/>
                <w:szCs w:val="23"/>
              </w:rPr>
              <w:t>Full backup</w:t>
            </w:r>
          </w:p>
        </w:tc>
        <w:tc>
          <w:tcPr>
            <w:tcW w:w="2216" w:type="dxa"/>
            <w:gridSpan w:val="2"/>
          </w:tcPr>
          <w:p w14:paraId="6749AE6A"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b/>
                <w:bCs/>
                <w:sz w:val="23"/>
                <w:szCs w:val="23"/>
              </w:rPr>
              <w:t>Incremental backup</w:t>
            </w:r>
          </w:p>
        </w:tc>
        <w:tc>
          <w:tcPr>
            <w:tcW w:w="4341" w:type="dxa"/>
            <w:gridSpan w:val="4"/>
          </w:tcPr>
          <w:p w14:paraId="10B50CA6"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b/>
                <w:bCs/>
                <w:sz w:val="23"/>
                <w:szCs w:val="23"/>
              </w:rPr>
              <w:t>Annual backup</w:t>
            </w:r>
          </w:p>
        </w:tc>
      </w:tr>
      <w:tr w:rsidR="00E53A4C" w:rsidRPr="005B25BA" w14:paraId="12B4F268" w14:textId="77777777" w:rsidTr="00E760EE">
        <w:tc>
          <w:tcPr>
            <w:tcW w:w="999" w:type="dxa"/>
          </w:tcPr>
          <w:p w14:paraId="4AC4B960"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Frequency</w:t>
            </w:r>
          </w:p>
        </w:tc>
        <w:tc>
          <w:tcPr>
            <w:tcW w:w="981" w:type="dxa"/>
          </w:tcPr>
          <w:p w14:paraId="78087682"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Keeping time</w:t>
            </w:r>
          </w:p>
        </w:tc>
        <w:tc>
          <w:tcPr>
            <w:tcW w:w="828" w:type="dxa"/>
          </w:tcPr>
          <w:p w14:paraId="77B742DF"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Performance days</w:t>
            </w:r>
          </w:p>
        </w:tc>
        <w:tc>
          <w:tcPr>
            <w:tcW w:w="1242" w:type="dxa"/>
          </w:tcPr>
          <w:p w14:paraId="4C8D69B6"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Frequency</w:t>
            </w:r>
          </w:p>
        </w:tc>
        <w:tc>
          <w:tcPr>
            <w:tcW w:w="974" w:type="dxa"/>
          </w:tcPr>
          <w:p w14:paraId="681D38F7"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Keeping time</w:t>
            </w:r>
          </w:p>
        </w:tc>
        <w:tc>
          <w:tcPr>
            <w:tcW w:w="828" w:type="dxa"/>
          </w:tcPr>
          <w:p w14:paraId="441F515E"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Performance days</w:t>
            </w:r>
          </w:p>
        </w:tc>
        <w:tc>
          <w:tcPr>
            <w:tcW w:w="1101" w:type="dxa"/>
          </w:tcPr>
          <w:p w14:paraId="008163BC"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Frequency</w:t>
            </w:r>
          </w:p>
        </w:tc>
        <w:tc>
          <w:tcPr>
            <w:tcW w:w="1099" w:type="dxa"/>
          </w:tcPr>
          <w:p w14:paraId="7EDBDBF0"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Keeping time</w:t>
            </w:r>
          </w:p>
        </w:tc>
        <w:tc>
          <w:tcPr>
            <w:tcW w:w="1313" w:type="dxa"/>
          </w:tcPr>
          <w:p w14:paraId="539192AE" w14:textId="77777777" w:rsidR="00E53A4C" w:rsidRPr="005B25BA" w:rsidRDefault="00E53A4C" w:rsidP="00B7589C">
            <w:pPr>
              <w:numPr>
                <w:ilvl w:val="0"/>
                <w:numId w:val="0"/>
              </w:numPr>
              <w:spacing w:after="45" w:line="240" w:lineRule="auto"/>
              <w:jc w:val="left"/>
              <w:rPr>
                <w:rFonts w:ascii="Times New Roman" w:eastAsia="Tahoma" w:hAnsi="Times New Roman" w:cs="Tahoma"/>
              </w:rPr>
            </w:pPr>
            <w:r w:rsidRPr="005B25BA">
              <w:rPr>
                <w:rFonts w:ascii="Times New Roman" w:eastAsia="Tahoma" w:hAnsi="Times New Roman" w:cs="Tahoma"/>
                <w:b/>
                <w:bCs/>
              </w:rPr>
              <w:t>Performance days</w:t>
            </w:r>
          </w:p>
        </w:tc>
      </w:tr>
      <w:tr w:rsidR="00E53A4C" w:rsidRPr="005B25BA" w14:paraId="41CFE83F" w14:textId="77777777" w:rsidTr="00E760EE">
        <w:tc>
          <w:tcPr>
            <w:tcW w:w="999" w:type="dxa"/>
          </w:tcPr>
          <w:p w14:paraId="42C4476A"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Once a week</w:t>
            </w:r>
          </w:p>
        </w:tc>
        <w:tc>
          <w:tcPr>
            <w:tcW w:w="981" w:type="dxa"/>
          </w:tcPr>
          <w:p w14:paraId="7EF479DB"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6 months</w:t>
            </w:r>
          </w:p>
        </w:tc>
        <w:tc>
          <w:tcPr>
            <w:tcW w:w="828" w:type="dxa"/>
          </w:tcPr>
          <w:p w14:paraId="03F3CA49"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Thu, Sat</w:t>
            </w:r>
          </w:p>
        </w:tc>
        <w:tc>
          <w:tcPr>
            <w:tcW w:w="1242" w:type="dxa"/>
          </w:tcPr>
          <w:p w14:paraId="3AA41295"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Once a day</w:t>
            </w:r>
          </w:p>
        </w:tc>
        <w:tc>
          <w:tcPr>
            <w:tcW w:w="974" w:type="dxa"/>
          </w:tcPr>
          <w:p w14:paraId="4369C395"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45 days</w:t>
            </w:r>
          </w:p>
        </w:tc>
        <w:tc>
          <w:tcPr>
            <w:tcW w:w="828" w:type="dxa"/>
          </w:tcPr>
          <w:p w14:paraId="4B8102B8"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Sun-Thu</w:t>
            </w:r>
          </w:p>
        </w:tc>
        <w:tc>
          <w:tcPr>
            <w:tcW w:w="1101" w:type="dxa"/>
          </w:tcPr>
          <w:p w14:paraId="2F5233A6"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Twice a year: </w:t>
            </w:r>
          </w:p>
        </w:tc>
        <w:tc>
          <w:tcPr>
            <w:tcW w:w="1099" w:type="dxa"/>
          </w:tcPr>
          <w:p w14:paraId="7F9422DE"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Two years</w:t>
            </w:r>
          </w:p>
        </w:tc>
        <w:tc>
          <w:tcPr>
            <w:tcW w:w="1313" w:type="dxa"/>
          </w:tcPr>
          <w:p w14:paraId="710AAE5C" w14:textId="77777777" w:rsidR="00E53A4C" w:rsidRPr="005B25BA" w:rsidRDefault="00E53A4C" w:rsidP="00B7589C">
            <w:pPr>
              <w:numPr>
                <w:ilvl w:val="0"/>
                <w:numId w:val="0"/>
              </w:numPr>
              <w:spacing w:after="45" w:line="240" w:lineRule="auto"/>
              <w:jc w:val="left"/>
              <w:rPr>
                <w:rFonts w:ascii="Times New Roman" w:eastAsia="Tahoma" w:hAnsi="Times New Roman" w:cs="Tahoma"/>
                <w:sz w:val="23"/>
                <w:szCs w:val="23"/>
              </w:rPr>
            </w:pPr>
            <w:r w:rsidRPr="005B25BA">
              <w:rPr>
                <w:rFonts w:ascii="Times New Roman" w:eastAsia="Tahoma" w:hAnsi="Times New Roman" w:cs="Tahoma"/>
                <w:sz w:val="23"/>
                <w:szCs w:val="23"/>
              </w:rPr>
              <w:t>The day after half the year</w:t>
            </w:r>
          </w:p>
        </w:tc>
      </w:tr>
    </w:tbl>
    <w:p w14:paraId="600D9738" w14:textId="77777777" w:rsidR="00E53A4C" w:rsidRPr="005B25BA" w:rsidRDefault="00E53A4C" w:rsidP="00B7589C">
      <w:pPr>
        <w:numPr>
          <w:ilvl w:val="0"/>
          <w:numId w:val="0"/>
        </w:numPr>
        <w:spacing w:line="240" w:lineRule="auto"/>
        <w:jc w:val="left"/>
        <w:rPr>
          <w:rFonts w:ascii="Times New Roman" w:eastAsia="Tahoma" w:hAnsi="Times New Roman" w:cs="Tahoma"/>
          <w:sz w:val="23"/>
          <w:szCs w:val="23"/>
        </w:rPr>
      </w:pPr>
    </w:p>
    <w:p w14:paraId="08DAF422" w14:textId="77777777" w:rsidR="00EE415E" w:rsidRDefault="00EE415E" w:rsidP="00B7589C">
      <w:pPr>
        <w:numPr>
          <w:ilvl w:val="0"/>
          <w:numId w:val="0"/>
        </w:numPr>
        <w:shd w:val="clear" w:color="auto" w:fill="FFFFFF"/>
        <w:jc w:val="left"/>
      </w:pPr>
    </w:p>
    <w:p w14:paraId="38EFC487" w14:textId="541CCC64" w:rsidR="00EE415E" w:rsidRPr="00EE415E" w:rsidRDefault="00E53A4C" w:rsidP="00EE415E">
      <w:pPr>
        <w:numPr>
          <w:ilvl w:val="0"/>
          <w:numId w:val="0"/>
        </w:numPr>
        <w:jc w:val="left"/>
        <w:rPr>
          <w:b/>
          <w:bCs/>
        </w:rPr>
      </w:pPr>
      <w:r w:rsidRPr="00EE415E">
        <w:rPr>
          <w:b/>
          <w:bCs/>
        </w:rPr>
        <w:t xml:space="preserve">Methods for using the </w:t>
      </w:r>
      <w:r w:rsidR="00EE415E" w:rsidRPr="00EE415E">
        <w:rPr>
          <w:b/>
          <w:bCs/>
        </w:rPr>
        <w:t>backed-up</w:t>
      </w:r>
      <w:r w:rsidRPr="00EE415E">
        <w:rPr>
          <w:b/>
          <w:bCs/>
        </w:rPr>
        <w:t xml:space="preserve"> information</w:t>
      </w:r>
      <w:r w:rsidRPr="00EE415E">
        <w:rPr>
          <w:b/>
          <w:bCs/>
        </w:rPr>
        <w:br/>
      </w:r>
    </w:p>
    <w:p w14:paraId="046F337D" w14:textId="61534F79" w:rsidR="00E53A4C" w:rsidRPr="00EE415E" w:rsidRDefault="00E53A4C" w:rsidP="00EE415E">
      <w:pPr>
        <w:pStyle w:val="ListParagraph"/>
        <w:numPr>
          <w:ilvl w:val="0"/>
          <w:numId w:val="0"/>
        </w:numPr>
        <w:shd w:val="clear" w:color="auto" w:fill="FFFFFF"/>
        <w:jc w:val="left"/>
        <w:rPr>
          <w:rFonts w:ascii="Times New Roman" w:eastAsia="Tahoma" w:hAnsi="Times New Roman" w:cs="Tahoma"/>
          <w:sz w:val="23"/>
          <w:szCs w:val="23"/>
        </w:rPr>
      </w:pPr>
      <w:r w:rsidRPr="00EE415E">
        <w:rPr>
          <w:rFonts w:ascii="Times New Roman" w:eastAsia="Tahoma" w:hAnsi="Times New Roman" w:cs="Tahoma"/>
          <w:sz w:val="23"/>
          <w:szCs w:val="23"/>
        </w:rPr>
        <w:br/>
        <w:t xml:space="preserve">Usually, using and modifying the </w:t>
      </w:r>
      <w:proofErr w:type="gramStart"/>
      <w:r w:rsidRPr="00EE415E">
        <w:rPr>
          <w:rFonts w:ascii="Times New Roman" w:eastAsia="Tahoma" w:hAnsi="Times New Roman" w:cs="Tahoma"/>
          <w:sz w:val="23"/>
          <w:szCs w:val="23"/>
        </w:rPr>
        <w:t>backed up</w:t>
      </w:r>
      <w:proofErr w:type="gramEnd"/>
      <w:r w:rsidRPr="00EE415E">
        <w:rPr>
          <w:rFonts w:ascii="Times New Roman" w:eastAsia="Tahoma" w:hAnsi="Times New Roman" w:cs="Tahoma"/>
          <w:sz w:val="23"/>
          <w:szCs w:val="23"/>
        </w:rPr>
        <w:t xml:space="preserve"> information is beneficial for increasing the backup process efficiency. These changes can improve the backup speed, restoration time, information security and use of media.</w:t>
      </w:r>
      <w:r w:rsidRPr="00EE415E">
        <w:rPr>
          <w:rFonts w:ascii="Times New Roman" w:eastAsia="Tahoma" w:hAnsi="Times New Roman" w:cs="Tahoma"/>
          <w:sz w:val="23"/>
          <w:szCs w:val="23"/>
        </w:rPr>
        <w:br/>
      </w:r>
      <w:r w:rsidRPr="00EE415E">
        <w:rPr>
          <w:rFonts w:ascii="Times New Roman" w:eastAsia="Tahoma" w:hAnsi="Times New Roman" w:cs="Tahoma"/>
          <w:sz w:val="23"/>
          <w:szCs w:val="23"/>
        </w:rPr>
        <w:br/>
      </w:r>
    </w:p>
    <w:p w14:paraId="3916E45A"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Compression</w:t>
      </w:r>
    </w:p>
    <w:p w14:paraId="3E433566"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There are various methods to compress the information that must be backed up to use less storage volume.</w:t>
      </w:r>
    </w:p>
    <w:p w14:paraId="336468B1"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2E111196"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De-duplication</w:t>
      </w:r>
    </w:p>
    <w:p w14:paraId="5FDC85AD"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When many similar systems are backed up to the same storage device, there is a possibility of great information duplication. For example, if 20 workstations operating with a Windows operating system are backed up to the same server, a major proportion of the operating </w:t>
      </w:r>
      <w:r w:rsidRPr="005B25BA">
        <w:rPr>
          <w:rFonts w:ascii="Times New Roman" w:eastAsia="Tahoma" w:hAnsi="Times New Roman" w:cs="Tahoma"/>
          <w:sz w:val="23"/>
          <w:szCs w:val="23"/>
        </w:rPr>
        <w:lastRenderedPageBreak/>
        <w:t>system will be backed up 20 times. The only thing required is a single backup of the common part so that the information may be restored from it to all 20 stations.</w:t>
      </w:r>
    </w:p>
    <w:p w14:paraId="2A01240D"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08D0D746"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Encryption</w:t>
      </w:r>
    </w:p>
    <w:p w14:paraId="4EDF5605"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A portable storage medium, such as a magnetic tape, poses an information security risk if lost or stolen. Encrypting the information may reduce the risk, but this process requires significant resources from the computer, so the backup speed will slow down.</w:t>
      </w:r>
    </w:p>
    <w:p w14:paraId="68F3E37E"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6F6B4544"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Staging</w:t>
      </w:r>
    </w:p>
    <w:p w14:paraId="014D4282"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Sometimes it is necessary to back up the information to an interim disk and only then copy it from the interim disk to the magnetic tape. This process may solve the problem of matching of speeds between the system being backed up and the backup storage device, as happens sometimes when backing up a computer network.</w:t>
      </w:r>
    </w:p>
    <w:p w14:paraId="0BFD31FF" w14:textId="77777777" w:rsidR="00E53A4C" w:rsidRPr="005B25BA" w:rsidRDefault="00E53A4C" w:rsidP="00B7589C">
      <w:pPr>
        <w:numPr>
          <w:ilvl w:val="0"/>
          <w:numId w:val="0"/>
        </w:numPr>
        <w:spacing w:line="240" w:lineRule="auto"/>
        <w:jc w:val="left"/>
        <w:rPr>
          <w:rFonts w:ascii="Times New Roman" w:eastAsia="Tahoma" w:hAnsi="Times New Roman" w:cs="Tahoma"/>
          <w:sz w:val="23"/>
          <w:szCs w:val="23"/>
        </w:rPr>
      </w:pPr>
    </w:p>
    <w:p w14:paraId="1400EA0C" w14:textId="77777777" w:rsidR="00E53A4C" w:rsidRPr="005B25BA" w:rsidRDefault="00E53A4C" w:rsidP="00B7589C">
      <w:pPr>
        <w:numPr>
          <w:ilvl w:val="0"/>
          <w:numId w:val="0"/>
        </w:numPr>
        <w:spacing w:line="240" w:lineRule="auto"/>
        <w:jc w:val="left"/>
        <w:rPr>
          <w:rFonts w:ascii="Times New Roman" w:eastAsia="Tahoma" w:hAnsi="Times New Roman" w:cs="Tahoma"/>
          <w:sz w:val="23"/>
          <w:szCs w:val="23"/>
        </w:rPr>
      </w:pPr>
    </w:p>
    <w:p w14:paraId="021F983E" w14:textId="77777777" w:rsidR="00E53A4C" w:rsidRPr="00EE415E" w:rsidRDefault="00E53A4C" w:rsidP="00EE415E">
      <w:pPr>
        <w:tabs>
          <w:tab w:val="clear" w:pos="6480"/>
        </w:tabs>
        <w:ind w:left="0"/>
        <w:jc w:val="left"/>
        <w:rPr>
          <w:b/>
          <w:bCs/>
        </w:rPr>
      </w:pPr>
      <w:r w:rsidRPr="00EE415E">
        <w:rPr>
          <w:b/>
          <w:bCs/>
        </w:rPr>
        <w:t> </w:t>
      </w:r>
      <w:bookmarkStart w:id="11" w:name="_Toc172999006"/>
      <w:r w:rsidRPr="00EE415E">
        <w:rPr>
          <w:b/>
          <w:bCs/>
        </w:rPr>
        <w:t>Keeping of backups (retention)</w:t>
      </w:r>
      <w:bookmarkEnd w:id="11"/>
    </w:p>
    <w:p w14:paraId="112039C0" w14:textId="77777777" w:rsidR="00E53A4C" w:rsidRPr="005B25BA" w:rsidRDefault="00E53A4C" w:rsidP="00B7589C">
      <w:pPr>
        <w:numPr>
          <w:ilvl w:val="0"/>
          <w:numId w:val="0"/>
        </w:numPr>
        <w:pBdr>
          <w:top w:val="nil"/>
          <w:left w:val="nil"/>
          <w:bottom w:val="nil"/>
          <w:right w:val="nil"/>
          <w:between w:val="nil"/>
        </w:pBdr>
        <w:shd w:val="clear" w:color="auto" w:fill="FFFFFF"/>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Daily backups (once a day, Sun-Thu) are saved for 45 days.</w:t>
      </w:r>
    </w:p>
    <w:p w14:paraId="1C542936" w14:textId="77777777" w:rsidR="00E53A4C" w:rsidRPr="005B25BA" w:rsidRDefault="00E53A4C" w:rsidP="00B7589C">
      <w:pPr>
        <w:numPr>
          <w:ilvl w:val="0"/>
          <w:numId w:val="0"/>
        </w:numPr>
        <w:pBdr>
          <w:top w:val="nil"/>
          <w:left w:val="nil"/>
          <w:bottom w:val="nil"/>
          <w:right w:val="nil"/>
          <w:between w:val="nil"/>
        </w:pBdr>
        <w:shd w:val="clear" w:color="auto" w:fill="FFFFFF"/>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Weekly backups (Once a week) are saved for 6 months.</w:t>
      </w:r>
    </w:p>
    <w:p w14:paraId="63BDB868" w14:textId="77777777" w:rsidR="00E53A4C" w:rsidRPr="005B25BA" w:rsidRDefault="00E53A4C" w:rsidP="00B7589C">
      <w:pPr>
        <w:numPr>
          <w:ilvl w:val="0"/>
          <w:numId w:val="0"/>
        </w:numPr>
        <w:pBdr>
          <w:top w:val="nil"/>
          <w:left w:val="nil"/>
          <w:bottom w:val="nil"/>
          <w:right w:val="nil"/>
          <w:between w:val="nil"/>
        </w:pBdr>
        <w:shd w:val="clear" w:color="auto" w:fill="FFFFFF"/>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Annual backups (once every six months) are saved for two years.</w:t>
      </w:r>
    </w:p>
    <w:p w14:paraId="00586C0A" w14:textId="77777777" w:rsidR="00E53A4C" w:rsidRPr="005B25BA" w:rsidRDefault="00E53A4C" w:rsidP="00B7589C">
      <w:pPr>
        <w:numPr>
          <w:ilvl w:val="0"/>
          <w:numId w:val="0"/>
        </w:numPr>
        <w:pBdr>
          <w:top w:val="nil"/>
          <w:left w:val="nil"/>
          <w:bottom w:val="nil"/>
          <w:right w:val="nil"/>
          <w:between w:val="nil"/>
        </w:pBdr>
        <w:shd w:val="clear" w:color="auto" w:fill="FFFFFF"/>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In other words, if a file changes every day, the system serves 30 daily versions of it (from the last 6 weeks), approximately 25 weekly versions of it (from the last half year) and 4 semiannual versions of it (from the last two years).</w:t>
      </w:r>
    </w:p>
    <w:p w14:paraId="5B357194" w14:textId="77777777" w:rsidR="00E53A4C" w:rsidRPr="005B25BA" w:rsidRDefault="00E53A4C" w:rsidP="00B7589C">
      <w:pPr>
        <w:numPr>
          <w:ilvl w:val="0"/>
          <w:numId w:val="0"/>
        </w:numPr>
        <w:pBdr>
          <w:top w:val="nil"/>
          <w:left w:val="nil"/>
          <w:bottom w:val="nil"/>
          <w:right w:val="nil"/>
          <w:between w:val="nil"/>
        </w:pBdr>
        <w:shd w:val="clear" w:color="auto" w:fill="FFFFFF"/>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It is necessary to send copies of a full backup (once a month) for keeping in an underground vault in a remote site (offsite backup).</w:t>
      </w:r>
    </w:p>
    <w:p w14:paraId="2C533294"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0EC82AA4"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p>
    <w:p w14:paraId="30188502"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b/>
          <w:bCs/>
          <w:sz w:val="23"/>
          <w:szCs w:val="23"/>
        </w:rPr>
        <w:t>How can we know whether the backup is successful?</w:t>
      </w:r>
    </w:p>
    <w:p w14:paraId="37B376BE" w14:textId="77777777" w:rsidR="00E53A4C" w:rsidRPr="005B25BA" w:rsidRDefault="00E53A4C" w:rsidP="00B7589C">
      <w:pPr>
        <w:numPr>
          <w:ilvl w:val="0"/>
          <w:numId w:val="0"/>
        </w:numPr>
        <w:shd w:val="clear" w:color="auto" w:fill="FFFFFF"/>
        <w:ind w:right="600"/>
        <w:jc w:val="left"/>
        <w:rPr>
          <w:rFonts w:ascii="Times New Roman" w:eastAsia="Tahoma" w:hAnsi="Times New Roman" w:cs="Tahoma"/>
          <w:sz w:val="23"/>
          <w:szCs w:val="23"/>
        </w:rPr>
      </w:pPr>
      <w:r w:rsidRPr="005B25BA">
        <w:rPr>
          <w:rFonts w:ascii="Times New Roman" w:eastAsia="Tahoma" w:hAnsi="Times New Roman" w:cs="Tahoma"/>
          <w:sz w:val="23"/>
          <w:szCs w:val="23"/>
        </w:rPr>
        <w:t>When 2 consecutive backups of the same type (full or incremental) fail, a rule must be defined to send an email to the backup supervisor and the center’s operation / control center.</w:t>
      </w:r>
    </w:p>
    <w:p w14:paraId="7ADF28C4" w14:textId="77777777" w:rsidR="00E53A4C" w:rsidRPr="005B25BA" w:rsidRDefault="00E53A4C" w:rsidP="00B7589C">
      <w:pPr>
        <w:numPr>
          <w:ilvl w:val="0"/>
          <w:numId w:val="0"/>
        </w:numPr>
        <w:shd w:val="clear" w:color="auto" w:fill="FFFFFF"/>
        <w:ind w:right="600"/>
        <w:jc w:val="left"/>
        <w:rPr>
          <w:rFonts w:ascii="Times New Roman" w:eastAsia="Tahoma" w:hAnsi="Times New Roman" w:cs="Tahoma"/>
          <w:sz w:val="23"/>
          <w:szCs w:val="23"/>
        </w:rPr>
      </w:pPr>
    </w:p>
    <w:p w14:paraId="5E2BEDEC" w14:textId="77777777" w:rsidR="00E53A4C" w:rsidRPr="005B25BA" w:rsidRDefault="00E53A4C" w:rsidP="00B7589C">
      <w:pPr>
        <w:numPr>
          <w:ilvl w:val="0"/>
          <w:numId w:val="0"/>
        </w:numPr>
        <w:shd w:val="clear" w:color="auto" w:fill="FFFFFF"/>
        <w:ind w:right="600"/>
        <w:jc w:val="left"/>
        <w:rPr>
          <w:rFonts w:ascii="Times New Roman" w:eastAsia="Tahoma" w:hAnsi="Times New Roman" w:cs="Tahoma"/>
          <w:sz w:val="23"/>
          <w:szCs w:val="23"/>
        </w:rPr>
      </w:pPr>
    </w:p>
    <w:p w14:paraId="5653675A" w14:textId="77777777" w:rsidR="00E53A4C" w:rsidRPr="00EE415E" w:rsidRDefault="00E53A4C" w:rsidP="00EE415E">
      <w:pPr>
        <w:tabs>
          <w:tab w:val="clear" w:pos="6480"/>
        </w:tabs>
        <w:ind w:left="0"/>
        <w:jc w:val="left"/>
        <w:rPr>
          <w:b/>
          <w:bCs/>
        </w:rPr>
      </w:pPr>
      <w:r w:rsidRPr="00EE415E">
        <w:rPr>
          <w:b/>
          <w:bCs/>
        </w:rPr>
        <w:lastRenderedPageBreak/>
        <w:t> </w:t>
      </w:r>
      <w:bookmarkStart w:id="12" w:name="_Toc172999007"/>
      <w:r w:rsidRPr="00EE415E">
        <w:rPr>
          <w:b/>
          <w:bCs/>
        </w:rPr>
        <w:t>Reports and review</w:t>
      </w:r>
      <w:bookmarkEnd w:id="12"/>
      <w:r w:rsidRPr="00EE415E">
        <w:rPr>
          <w:b/>
          <w:bCs/>
        </w:rPr>
        <w:t xml:space="preserve"> </w:t>
      </w:r>
    </w:p>
    <w:p w14:paraId="58B0C1C2"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At the beginning of the month, a rule must be defined to send an email to the backup supervisor and the center’s operation / control center.</w:t>
      </w:r>
    </w:p>
    <w:p w14:paraId="1006160F"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 Links to the monthly reports on the backups of the previous month and the current month. </w:t>
      </w:r>
    </w:p>
    <w:p w14:paraId="5488E41C" w14:textId="77777777" w:rsidR="00E53A4C" w:rsidRPr="005B25BA" w:rsidRDefault="00E53A4C" w:rsidP="00B7589C">
      <w:pPr>
        <w:numPr>
          <w:ilvl w:val="0"/>
          <w:numId w:val="0"/>
        </w:numPr>
        <w:shd w:val="clear" w:color="auto" w:fill="FFFFFF"/>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 It is recommended to go over the reports to make sure that the backups work as required.</w:t>
      </w:r>
    </w:p>
    <w:p w14:paraId="22A3FBE3" w14:textId="77777777" w:rsidR="00E53A4C" w:rsidRPr="005B25BA" w:rsidRDefault="00E53A4C" w:rsidP="00B7589C">
      <w:pPr>
        <w:numPr>
          <w:ilvl w:val="0"/>
          <w:numId w:val="0"/>
        </w:numPr>
        <w:spacing w:line="240" w:lineRule="auto"/>
        <w:jc w:val="left"/>
        <w:rPr>
          <w:rFonts w:ascii="Times New Roman" w:eastAsia="Tahoma" w:hAnsi="Times New Roman" w:cs="Tahoma"/>
        </w:rPr>
      </w:pPr>
    </w:p>
    <w:p w14:paraId="4B0E19E1" w14:textId="77777777" w:rsidR="00E53A4C" w:rsidRPr="005B25BA" w:rsidRDefault="00E53A4C" w:rsidP="00B7589C">
      <w:pPr>
        <w:numPr>
          <w:ilvl w:val="0"/>
          <w:numId w:val="0"/>
        </w:numPr>
        <w:spacing w:line="240" w:lineRule="auto"/>
        <w:jc w:val="left"/>
        <w:rPr>
          <w:rFonts w:ascii="Times New Roman" w:eastAsia="Tahoma" w:hAnsi="Times New Roman" w:cs="Tahoma"/>
        </w:rPr>
      </w:pPr>
    </w:p>
    <w:p w14:paraId="77039989" w14:textId="77777777" w:rsidR="00E53A4C" w:rsidRPr="00EE415E" w:rsidRDefault="00E53A4C" w:rsidP="00EE415E">
      <w:pPr>
        <w:tabs>
          <w:tab w:val="clear" w:pos="6480"/>
        </w:tabs>
        <w:ind w:left="0"/>
        <w:jc w:val="left"/>
        <w:rPr>
          <w:b/>
          <w:bCs/>
        </w:rPr>
      </w:pPr>
      <w:r w:rsidRPr="00EE415E">
        <w:rPr>
          <w:b/>
          <w:bCs/>
        </w:rPr>
        <w:t> </w:t>
      </w:r>
      <w:bookmarkStart w:id="13" w:name="_Toc172999008"/>
      <w:r w:rsidRPr="00EE415E">
        <w:rPr>
          <w:b/>
          <w:bCs/>
        </w:rPr>
        <w:t>Backup of databases</w:t>
      </w:r>
      <w:bookmarkEnd w:id="13"/>
    </w:p>
    <w:p w14:paraId="602623F0" w14:textId="2B43FDFA" w:rsidR="00E53A4C" w:rsidRPr="005B25BA" w:rsidRDefault="00E53A4C" w:rsidP="00B7589C">
      <w:pPr>
        <w:numPr>
          <w:ilvl w:val="0"/>
          <w:numId w:val="0"/>
        </w:numPr>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When backing up databases, it must be made sure that the backup is consistent and according to the directions of the software supplier. If special software is being used to perform the backups, the directions of the backup software supplier on backing up Oracle and MSSQL databases must be checked. In some programs there is an option for special compatibility with the </w:t>
      </w:r>
      <w:r w:rsidR="00167A02" w:rsidRPr="005B25BA">
        <w:rPr>
          <w:rFonts w:ascii="Times New Roman" w:eastAsia="Tahoma" w:hAnsi="Times New Roman" w:cs="Tahoma"/>
          <w:sz w:val="23"/>
          <w:szCs w:val="23"/>
        </w:rPr>
        <w:t>backed-up</w:t>
      </w:r>
      <w:r w:rsidRPr="005B25BA">
        <w:rPr>
          <w:rFonts w:ascii="Times New Roman" w:eastAsia="Tahoma" w:hAnsi="Times New Roman" w:cs="Tahoma"/>
          <w:sz w:val="23"/>
          <w:szCs w:val="23"/>
        </w:rPr>
        <w:t xml:space="preserve"> database.</w:t>
      </w:r>
    </w:p>
    <w:p w14:paraId="323DA21A" w14:textId="5CBDB083" w:rsidR="00E53A4C" w:rsidRPr="005B25BA" w:rsidRDefault="00E53A4C" w:rsidP="00B7589C">
      <w:pPr>
        <w:numPr>
          <w:ilvl w:val="0"/>
          <w:numId w:val="0"/>
        </w:numPr>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Databases state with a serial number each change (deletion, update, creation of new objects) that occurs in the database (for example change 1001, 1002, etc.). The changes are recorded in a in a changes log on the one hand and are made in the computer memory on the </w:t>
      </w:r>
      <w:r w:rsidR="00167A02" w:rsidRPr="005B25BA">
        <w:rPr>
          <w:rFonts w:ascii="Times New Roman" w:eastAsia="Tahoma" w:hAnsi="Times New Roman" w:cs="Tahoma"/>
          <w:sz w:val="23"/>
          <w:szCs w:val="23"/>
        </w:rPr>
        <w:t>other but</w:t>
      </w:r>
      <w:r w:rsidRPr="005B25BA">
        <w:rPr>
          <w:rFonts w:ascii="Times New Roman" w:eastAsia="Tahoma" w:hAnsi="Times New Roman" w:cs="Tahoma"/>
          <w:sz w:val="23"/>
          <w:szCs w:val="23"/>
        </w:rPr>
        <w:t xml:space="preserve"> are transferred to the database files afterward. The meaning of this is that when database files are copied, some of the changes have been recorded in the files and some have not been recorded yet. Therefore, when attempting to open a database that has been copied during activity, an error message occurs. This is because the database engine is not able to complete changes that have not been recorded into the files. In effect, in this state it is not possible to restore a database. </w:t>
      </w:r>
    </w:p>
    <w:p w14:paraId="01809937" w14:textId="77777777" w:rsidR="00E53A4C" w:rsidRPr="005B25BA" w:rsidRDefault="00E53A4C" w:rsidP="00B7589C">
      <w:pPr>
        <w:numPr>
          <w:ilvl w:val="0"/>
          <w:numId w:val="0"/>
        </w:numPr>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Backing up databases should be done in a manner that will allow for uniformity in the database files along with backing up the change log files. A cold backup of the database may be done when it is closed – or a hot backup when it is open, and then the standard mechanisms of each of the software suppliers as described below may be used. </w:t>
      </w:r>
    </w:p>
    <w:p w14:paraId="3D827752" w14:textId="77777777" w:rsidR="00E53A4C" w:rsidRPr="005B25BA" w:rsidRDefault="00E53A4C" w:rsidP="00B7589C">
      <w:pPr>
        <w:numPr>
          <w:ilvl w:val="0"/>
          <w:numId w:val="0"/>
        </w:numPr>
        <w:jc w:val="left"/>
        <w:rPr>
          <w:rFonts w:ascii="Times New Roman" w:eastAsia="Tahoma" w:hAnsi="Times New Roman" w:cs="Tahoma"/>
          <w:b/>
          <w:sz w:val="23"/>
          <w:szCs w:val="23"/>
          <w:u w:val="single"/>
        </w:rPr>
      </w:pPr>
      <w:r w:rsidRPr="005B25BA">
        <w:rPr>
          <w:rFonts w:ascii="Times New Roman" w:eastAsia="Tahoma" w:hAnsi="Times New Roman" w:cs="Tahoma"/>
          <w:b/>
          <w:bCs/>
          <w:sz w:val="23"/>
          <w:szCs w:val="23"/>
          <w:u w:val="single"/>
        </w:rPr>
        <w:t>MSSQL</w:t>
      </w:r>
    </w:p>
    <w:p w14:paraId="5128624D" w14:textId="77777777" w:rsidR="00E53A4C" w:rsidRPr="005B25BA" w:rsidRDefault="00E53A4C" w:rsidP="00B7589C">
      <w:pPr>
        <w:numPr>
          <w:ilvl w:val="0"/>
          <w:numId w:val="0"/>
        </w:numPr>
        <w:jc w:val="left"/>
        <w:rPr>
          <w:rFonts w:ascii="Times New Roman" w:eastAsia="Tahoma" w:hAnsi="Times New Roman" w:cs="Tahoma"/>
          <w:sz w:val="23"/>
          <w:szCs w:val="23"/>
        </w:rPr>
      </w:pPr>
      <w:r w:rsidRPr="005B25BA">
        <w:rPr>
          <w:rFonts w:ascii="Times New Roman" w:eastAsia="Tahoma" w:hAnsi="Times New Roman" w:cs="Tahoma"/>
          <w:sz w:val="23"/>
          <w:szCs w:val="23"/>
        </w:rPr>
        <w:t>Backup</w:t>
      </w:r>
    </w:p>
    <w:p w14:paraId="154FFD4A"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The databases will be set up in a full recovery model for full backups and log backups – if the backups are created locally, their transfer to external media must be ensured.</w:t>
      </w:r>
    </w:p>
    <w:p w14:paraId="38B4C724"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lastRenderedPageBreak/>
        <w:t>It is desirable to make sure of full daily backup – this may vary according to the volume of the database and the activity load.</w:t>
      </w:r>
    </w:p>
    <w:p w14:paraId="0A487FF5"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The frequency of backup up the log directly affects the restoration ability and the possibility of information loss (RPO) – the ideal frequency is 15-60 minutes.</w:t>
      </w:r>
    </w:p>
    <w:p w14:paraId="1A617F3F"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Making a backup of a log is essential for the regular functioning of the system – a delay in performing a log backup may cause the system to stop.</w:t>
      </w:r>
    </w:p>
    <w:p w14:paraId="295B51EE"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It is recommended to perform an automatic functional check – restore verify only – when the backup is created.</w:t>
      </w:r>
    </w:p>
    <w:p w14:paraId="2F62DA39"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Some backup software suppliers use a snapshot feature – this backup freezes the IO for the file system and must be scheduled as necessary. It is important to note that in terms of MSSQL, the snapshot allows for restoration to the point at which it was taken and not beyond – i.e., it is not possible to restore additional logs beyond this point (unlike an ordinary MSSQL backup).</w:t>
      </w:r>
    </w:p>
    <w:p w14:paraId="47C0AFDE" w14:textId="77777777" w:rsidR="00E53A4C" w:rsidRPr="005B25BA" w:rsidRDefault="00E53A4C" w:rsidP="00B7589C">
      <w:pPr>
        <w:numPr>
          <w:ilvl w:val="0"/>
          <w:numId w:val="0"/>
        </w:numPr>
        <w:jc w:val="left"/>
        <w:rPr>
          <w:rFonts w:ascii="Times New Roman" w:hAnsi="Times New Roman"/>
          <w:b/>
          <w:u w:val="single"/>
        </w:rPr>
      </w:pPr>
    </w:p>
    <w:p w14:paraId="4627B349" w14:textId="77777777" w:rsidR="00E53A4C" w:rsidRPr="005B25BA" w:rsidRDefault="00E53A4C" w:rsidP="00B7589C">
      <w:pPr>
        <w:numPr>
          <w:ilvl w:val="0"/>
          <w:numId w:val="0"/>
        </w:numPr>
        <w:jc w:val="left"/>
        <w:rPr>
          <w:rFonts w:ascii="Times New Roman" w:hAnsi="Times New Roman"/>
          <w:b/>
          <w:u w:val="single"/>
        </w:rPr>
      </w:pPr>
      <w:r w:rsidRPr="005B25BA">
        <w:rPr>
          <w:rFonts w:ascii="Times New Roman" w:hAnsi="Times New Roman"/>
          <w:b/>
          <w:bCs/>
          <w:u w:val="single"/>
        </w:rPr>
        <w:t>ORACLE</w:t>
      </w:r>
    </w:p>
    <w:p w14:paraId="7C15D6FA" w14:textId="77777777" w:rsidR="00E53A4C" w:rsidRPr="005B25BA" w:rsidRDefault="00E53A4C" w:rsidP="00B7589C">
      <w:pPr>
        <w:numPr>
          <w:ilvl w:val="0"/>
          <w:numId w:val="0"/>
        </w:numPr>
        <w:jc w:val="left"/>
        <w:rPr>
          <w:rFonts w:ascii="Times New Roman" w:eastAsia="Tahoma" w:hAnsi="Times New Roman" w:cs="Tahoma"/>
          <w:sz w:val="23"/>
          <w:szCs w:val="23"/>
        </w:rPr>
      </w:pPr>
      <w:r w:rsidRPr="005B25BA">
        <w:rPr>
          <w:rFonts w:ascii="Times New Roman" w:eastAsia="Tahoma" w:hAnsi="Times New Roman" w:cs="Tahoma"/>
          <w:sz w:val="23"/>
          <w:szCs w:val="23"/>
        </w:rPr>
        <w:t>Backup - hot backup options using Oracle:</w:t>
      </w:r>
    </w:p>
    <w:p w14:paraId="6CE51E64" w14:textId="77777777" w:rsidR="00E53A4C" w:rsidRPr="005B25BA" w:rsidRDefault="00E53A4C" w:rsidP="00B7589C">
      <w:pPr>
        <w:numPr>
          <w:ilvl w:val="0"/>
          <w:numId w:val="0"/>
        </w:numPr>
        <w:pBdr>
          <w:top w:val="nil"/>
          <w:left w:val="nil"/>
          <w:bottom w:val="nil"/>
          <w:right w:val="nil"/>
          <w:between w:val="nil"/>
        </w:pBdr>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Databases will be defined with an archive log.</w:t>
      </w:r>
    </w:p>
    <w:p w14:paraId="2CCBDFFC" w14:textId="77777777" w:rsidR="00E53A4C" w:rsidRPr="005B25BA" w:rsidRDefault="00E53A4C" w:rsidP="00B7589C">
      <w:pPr>
        <w:numPr>
          <w:ilvl w:val="0"/>
          <w:numId w:val="0"/>
        </w:numPr>
        <w:pBdr>
          <w:top w:val="nil"/>
          <w:left w:val="nil"/>
          <w:bottom w:val="nil"/>
          <w:right w:val="nil"/>
          <w:between w:val="nil"/>
        </w:pBdr>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 xml:space="preserve">Users of Oracle RMAN software that </w:t>
      </w:r>
      <w:proofErr w:type="gramStart"/>
      <w:r w:rsidRPr="005B25BA">
        <w:rPr>
          <w:rFonts w:ascii="Times New Roman" w:eastAsia="Tahoma" w:hAnsi="Times New Roman" w:cs="Tahoma"/>
          <w:color w:val="000000"/>
          <w:sz w:val="23"/>
          <w:szCs w:val="23"/>
        </w:rPr>
        <w:t>takes into account</w:t>
      </w:r>
      <w:proofErr w:type="gramEnd"/>
      <w:r w:rsidRPr="005B25BA">
        <w:rPr>
          <w:rFonts w:ascii="Times New Roman" w:eastAsia="Tahoma" w:hAnsi="Times New Roman" w:cs="Tahoma"/>
          <w:color w:val="000000"/>
          <w:sz w:val="23"/>
          <w:szCs w:val="23"/>
        </w:rPr>
        <w:t xml:space="preserve"> changes and creates a uniform backup. This software only backs up full areas in files and omits empty areas, making the backup volume smaller than the database size. At the end of the backup, all changes are recorded so that the backup is correct as of the time of finishing the backup.</w:t>
      </w:r>
    </w:p>
    <w:p w14:paraId="245C918D" w14:textId="77777777" w:rsidR="00E53A4C" w:rsidRPr="005B25BA" w:rsidRDefault="00E53A4C" w:rsidP="00B7589C">
      <w:pPr>
        <w:numPr>
          <w:ilvl w:val="0"/>
          <w:numId w:val="0"/>
        </w:numPr>
        <w:pBdr>
          <w:top w:val="nil"/>
          <w:left w:val="nil"/>
          <w:bottom w:val="nil"/>
          <w:right w:val="nil"/>
          <w:between w:val="nil"/>
        </w:pBdr>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Use of a start and end of backup command – this start of backup command orders the writing of all changes existing into the database files and orders the database to write the new changes from now on only to the change files and the memory. At the end of the backup, the end of backup command implements the changes made since the start of backup command from the change files and memory and reverts to normal mode. After the start of backup order, all files may be copied and a snapshot taken at the storage level. This backup is correct as of the time of starting the backup.</w:t>
      </w:r>
    </w:p>
    <w:p w14:paraId="0E48A13F" w14:textId="77777777" w:rsidR="00E53A4C" w:rsidRPr="005B25BA" w:rsidRDefault="00E53A4C" w:rsidP="00B7589C">
      <w:pPr>
        <w:numPr>
          <w:ilvl w:val="0"/>
          <w:numId w:val="0"/>
        </w:numPr>
        <w:pBdr>
          <w:top w:val="nil"/>
          <w:left w:val="nil"/>
          <w:bottom w:val="nil"/>
          <w:right w:val="nil"/>
          <w:between w:val="nil"/>
        </w:pBdr>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In addition, the change files (called archives in Oracle) must be backup up at as high a frequency as possible according to the required RPO. Usually after the backup a stage of deleting old archives must be added.</w:t>
      </w:r>
    </w:p>
    <w:p w14:paraId="135EAB42" w14:textId="77777777" w:rsidR="00E53A4C" w:rsidRPr="005B25BA" w:rsidRDefault="00E53A4C" w:rsidP="00B7589C">
      <w:pPr>
        <w:numPr>
          <w:ilvl w:val="0"/>
          <w:numId w:val="0"/>
        </w:numPr>
        <w:pBdr>
          <w:top w:val="nil"/>
          <w:left w:val="nil"/>
          <w:bottom w:val="nil"/>
          <w:right w:val="nil"/>
          <w:between w:val="nil"/>
        </w:pBdr>
        <w:spacing w:after="200"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A delay in deleting the archives may cause the system to stop.</w:t>
      </w:r>
    </w:p>
    <w:p w14:paraId="31DCAD63" w14:textId="77777777" w:rsidR="00E53A4C" w:rsidRPr="005B25BA" w:rsidRDefault="00E53A4C" w:rsidP="00B7589C">
      <w:pPr>
        <w:numPr>
          <w:ilvl w:val="0"/>
          <w:numId w:val="0"/>
        </w:numPr>
        <w:jc w:val="left"/>
        <w:rPr>
          <w:rFonts w:ascii="Times New Roman" w:eastAsia="Tahoma" w:hAnsi="Times New Roman" w:cs="Tahoma"/>
          <w:sz w:val="23"/>
          <w:szCs w:val="23"/>
        </w:rPr>
      </w:pPr>
      <w:r w:rsidRPr="005B25BA">
        <w:rPr>
          <w:rFonts w:ascii="Times New Roman" w:eastAsia="Tahoma" w:hAnsi="Times New Roman" w:cs="Tahoma"/>
          <w:sz w:val="23"/>
          <w:szCs w:val="23"/>
        </w:rPr>
        <w:t>Most backup programs support performing a hot backup matched to the Oracle database:</w:t>
      </w:r>
    </w:p>
    <w:p w14:paraId="79F48175" w14:textId="77777777" w:rsidR="00E53A4C" w:rsidRPr="005B25BA" w:rsidRDefault="00E53A4C" w:rsidP="00B7589C">
      <w:pPr>
        <w:numPr>
          <w:ilvl w:val="0"/>
          <w:numId w:val="0"/>
        </w:numPr>
        <w:pBdr>
          <w:top w:val="nil"/>
          <w:left w:val="nil"/>
          <w:bottom w:val="nil"/>
          <w:right w:val="nil"/>
          <w:between w:val="nil"/>
        </w:pBdr>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 xml:space="preserve">Backing up by RMAN - based on our experience, in most programs, using RMAN creates a range of problems in backup and restoration alike, and is therefore generally not recommended. In addition, these programs usually create a backup only of the database without an operating system and director structure, meaning that the computer must be </w:t>
      </w:r>
      <w:r w:rsidRPr="005B25BA">
        <w:rPr>
          <w:rFonts w:ascii="Times New Roman" w:eastAsia="Tahoma" w:hAnsi="Times New Roman" w:cs="Tahoma"/>
          <w:color w:val="000000"/>
          <w:sz w:val="23"/>
          <w:szCs w:val="23"/>
        </w:rPr>
        <w:lastRenderedPageBreak/>
        <w:t>backed up in addition to RMAN backup, meaning that the load on the server is double, and the restoration time is double too. Usually there will be options for backup and deletion of archives in addition to the database with separate scheduling but under the same task in the backup software.</w:t>
      </w:r>
    </w:p>
    <w:p w14:paraId="3417652F" w14:textId="1510DE66" w:rsidR="00E53A4C" w:rsidRPr="005B25BA" w:rsidRDefault="00E53A4C" w:rsidP="00B7589C">
      <w:pPr>
        <w:numPr>
          <w:ilvl w:val="0"/>
          <w:numId w:val="0"/>
        </w:numPr>
        <w:pBdr>
          <w:top w:val="nil"/>
          <w:left w:val="nil"/>
          <w:bottom w:val="nil"/>
          <w:right w:val="nil"/>
          <w:between w:val="nil"/>
        </w:pBdr>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 xml:space="preserve">Automatic Oracle matched backup - in VEEAM version 11, there is an ability to transfer to commands to begin / end the backup automatically and the task may include scheduled backup of archives including deletion. This is the best option based on our experience. At restoration time, it is possible through one action to get a uniform database that is correct for the backup start time. In addition, if </w:t>
      </w:r>
      <w:r w:rsidR="00167A02" w:rsidRPr="005B25BA">
        <w:rPr>
          <w:rFonts w:ascii="Times New Roman" w:eastAsia="Tahoma" w:hAnsi="Times New Roman" w:cs="Tahoma"/>
          <w:color w:val="000000"/>
          <w:sz w:val="23"/>
          <w:szCs w:val="23"/>
        </w:rPr>
        <w:t>necessary,</w:t>
      </w:r>
      <w:r w:rsidRPr="005B25BA">
        <w:rPr>
          <w:rFonts w:ascii="Times New Roman" w:eastAsia="Tahoma" w:hAnsi="Times New Roman" w:cs="Tahoma"/>
          <w:color w:val="000000"/>
          <w:sz w:val="23"/>
          <w:szCs w:val="23"/>
        </w:rPr>
        <w:t xml:space="preserve"> it is possible to transfer to the computer archives that were backed up after the </w:t>
      </w:r>
      <w:r w:rsidR="00167A02" w:rsidRPr="005B25BA">
        <w:rPr>
          <w:rFonts w:ascii="Times New Roman" w:eastAsia="Tahoma" w:hAnsi="Times New Roman" w:cs="Tahoma"/>
          <w:color w:val="000000"/>
          <w:sz w:val="23"/>
          <w:szCs w:val="23"/>
        </w:rPr>
        <w:t>start of</w:t>
      </w:r>
      <w:r w:rsidRPr="005B25BA">
        <w:rPr>
          <w:rFonts w:ascii="Times New Roman" w:eastAsia="Tahoma" w:hAnsi="Times New Roman" w:cs="Tahoma"/>
          <w:color w:val="000000"/>
          <w:sz w:val="23"/>
          <w:szCs w:val="23"/>
        </w:rPr>
        <w:t xml:space="preserve"> the backup, to complete the information for the last archive backup time. </w:t>
      </w:r>
    </w:p>
    <w:p w14:paraId="00918356" w14:textId="12154ACD" w:rsidR="00E53A4C" w:rsidRPr="005B25BA" w:rsidRDefault="00E53A4C" w:rsidP="00B7589C">
      <w:pPr>
        <w:numPr>
          <w:ilvl w:val="0"/>
          <w:numId w:val="0"/>
        </w:numPr>
        <w:pBdr>
          <w:top w:val="nil"/>
          <w:left w:val="nil"/>
          <w:bottom w:val="nil"/>
          <w:right w:val="nil"/>
          <w:between w:val="nil"/>
        </w:pBdr>
        <w:spacing w:after="200"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 xml:space="preserve">Oracle matched backup through Scripts – some backup programs have an option of adding scripts before and after making a snapshot, using </w:t>
      </w:r>
      <w:r w:rsidR="00167A02" w:rsidRPr="005B25BA">
        <w:rPr>
          <w:rFonts w:ascii="Times New Roman" w:eastAsia="Tahoma" w:hAnsi="Times New Roman" w:cs="Tahoma"/>
          <w:color w:val="000000"/>
          <w:sz w:val="23"/>
          <w:szCs w:val="23"/>
        </w:rPr>
        <w:t>which we</w:t>
      </w:r>
      <w:r w:rsidRPr="005B25BA">
        <w:rPr>
          <w:rFonts w:ascii="Times New Roman" w:eastAsia="Tahoma" w:hAnsi="Times New Roman" w:cs="Tahoma"/>
          <w:color w:val="000000"/>
          <w:sz w:val="23"/>
          <w:szCs w:val="23"/>
        </w:rPr>
        <w:t xml:space="preserve"> can transfer the start and end of backup commands to Oracle. In this configuration an additional backup task will be required for backing up the archive files.</w:t>
      </w:r>
    </w:p>
    <w:p w14:paraId="696823C0" w14:textId="77777777" w:rsidR="00E53A4C" w:rsidRPr="005B25BA" w:rsidRDefault="00E53A4C" w:rsidP="00B7589C">
      <w:pPr>
        <w:numPr>
          <w:ilvl w:val="0"/>
          <w:numId w:val="0"/>
        </w:numPr>
        <w:pBdr>
          <w:top w:val="nil"/>
          <w:left w:val="nil"/>
          <w:bottom w:val="nil"/>
          <w:right w:val="nil"/>
          <w:between w:val="nil"/>
        </w:pBdr>
        <w:jc w:val="left"/>
        <w:rPr>
          <w:rFonts w:ascii="Times New Roman" w:eastAsia="Tahoma" w:hAnsi="Times New Roman" w:cs="Tahoma"/>
          <w:color w:val="000000"/>
          <w:sz w:val="23"/>
          <w:szCs w:val="23"/>
        </w:rPr>
      </w:pPr>
    </w:p>
    <w:p w14:paraId="5B306EB7" w14:textId="77777777" w:rsidR="00E53A4C" w:rsidRPr="005B25BA" w:rsidRDefault="00E53A4C" w:rsidP="00B7589C">
      <w:pPr>
        <w:numPr>
          <w:ilvl w:val="0"/>
          <w:numId w:val="0"/>
        </w:numPr>
        <w:jc w:val="left"/>
        <w:rPr>
          <w:rFonts w:ascii="Times New Roman" w:eastAsia="Tahoma" w:hAnsi="Times New Roman" w:cs="Tahoma"/>
          <w:b/>
          <w:sz w:val="23"/>
          <w:szCs w:val="23"/>
          <w:u w:val="single"/>
        </w:rPr>
      </w:pPr>
      <w:r w:rsidRPr="005B25BA">
        <w:rPr>
          <w:rFonts w:ascii="Times New Roman" w:eastAsia="Tahoma" w:hAnsi="Times New Roman" w:cs="Tahoma"/>
          <w:b/>
          <w:bCs/>
          <w:sz w:val="23"/>
          <w:szCs w:val="23"/>
          <w:u w:val="single"/>
        </w:rPr>
        <w:t xml:space="preserve">Cold backup </w:t>
      </w:r>
    </w:p>
    <w:p w14:paraId="6C145259" w14:textId="77777777" w:rsidR="00E53A4C" w:rsidRPr="005B25BA" w:rsidRDefault="00E53A4C" w:rsidP="00B7589C">
      <w:pPr>
        <w:numPr>
          <w:ilvl w:val="0"/>
          <w:numId w:val="0"/>
        </w:numPr>
        <w:pBdr>
          <w:top w:val="nil"/>
          <w:left w:val="nil"/>
          <w:bottom w:val="nil"/>
          <w:right w:val="nil"/>
          <w:between w:val="nil"/>
        </w:pBdr>
        <w:spacing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Cold backup may be done when the database is closed – commands may be transferred to close it using scripts. During cold backup, the database is unavailable to users. In addition, closing the database will lead to low performance after restarting it. This method is less recommended - it may be used primarily before a significant system upgrade.</w:t>
      </w:r>
    </w:p>
    <w:p w14:paraId="62A80170" w14:textId="77777777" w:rsidR="00E53A4C" w:rsidRPr="005B25BA" w:rsidRDefault="00E53A4C" w:rsidP="00B7589C">
      <w:pPr>
        <w:numPr>
          <w:ilvl w:val="0"/>
          <w:numId w:val="0"/>
        </w:numPr>
        <w:pBdr>
          <w:top w:val="nil"/>
          <w:left w:val="nil"/>
          <w:bottom w:val="nil"/>
          <w:right w:val="nil"/>
          <w:between w:val="nil"/>
        </w:pBdr>
        <w:spacing w:after="200" w:line="276"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Cold backup of a local hot backup - performing a hot backup on the local disk (using commands and copying or RMAN) that is backed up by the computer backup to a separate medium. In the case of such a backup, it will take time to copy between drives / directories after restoring the entire computer and completing the changes from the archive files. Besides the longer restoration time, there may be states in which the external backup will be done during the internal backup, meaning that there will be no backup at all, so this option is not recommended.</w:t>
      </w:r>
    </w:p>
    <w:p w14:paraId="624C0F1C" w14:textId="77777777" w:rsidR="00E53A4C" w:rsidRPr="005B25BA" w:rsidRDefault="00E53A4C" w:rsidP="00B7589C">
      <w:pPr>
        <w:numPr>
          <w:ilvl w:val="0"/>
          <w:numId w:val="0"/>
        </w:numPr>
        <w:jc w:val="left"/>
        <w:rPr>
          <w:rFonts w:ascii="Times New Roman" w:eastAsia="Tahoma" w:hAnsi="Times New Roman" w:cs="Tahoma"/>
          <w:b/>
          <w:sz w:val="23"/>
          <w:szCs w:val="23"/>
          <w:u w:val="single"/>
        </w:rPr>
      </w:pPr>
      <w:r w:rsidRPr="005B25BA">
        <w:rPr>
          <w:rFonts w:ascii="Times New Roman" w:eastAsia="Tahoma" w:hAnsi="Times New Roman" w:cs="Tahoma"/>
          <w:b/>
          <w:bCs/>
          <w:sz w:val="23"/>
          <w:szCs w:val="23"/>
          <w:u w:val="single"/>
        </w:rPr>
        <w:t>Restoration (applies both to Oracle and MSSQL)</w:t>
      </w:r>
    </w:p>
    <w:p w14:paraId="1AEC94D1"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It is desirable to prepare a restoration plan for a database and the full server.</w:t>
      </w:r>
    </w:p>
    <w:p w14:paraId="0115E222"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According to the plan, it is recommended to conduct a periodical check - every three months database restoration, every six months full server restoration.</w:t>
      </w:r>
    </w:p>
    <w:p w14:paraId="3F90DB6A"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When restoring a database, it is also necessary to check restoration ability to a certain point in time using the lock backups. For performing the test, it is necessary to prepare a machine with appropriate database software.</w:t>
      </w:r>
    </w:p>
    <w:p w14:paraId="333E39AB" w14:textId="37159649"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lastRenderedPageBreak/>
        <w:t xml:space="preserve">After full restoration of the machine, it must be ensured that the system is active - all databases are </w:t>
      </w:r>
      <w:r w:rsidR="00167A02" w:rsidRPr="005B25BA">
        <w:rPr>
          <w:rFonts w:ascii="Times New Roman" w:eastAsia="Tahoma" w:hAnsi="Times New Roman" w:cs="Tahoma"/>
          <w:color w:val="000000"/>
          <w:sz w:val="23"/>
          <w:szCs w:val="23"/>
        </w:rPr>
        <w:t>available,</w:t>
      </w:r>
      <w:r w:rsidRPr="005B25BA">
        <w:rPr>
          <w:rFonts w:ascii="Times New Roman" w:eastAsia="Tahoma" w:hAnsi="Times New Roman" w:cs="Tahoma"/>
          <w:color w:val="000000"/>
          <w:sz w:val="23"/>
          <w:szCs w:val="23"/>
        </w:rPr>
        <w:t xml:space="preserve"> and it is also desirable to connect an application for </w:t>
      </w:r>
      <w:proofErr w:type="gramStart"/>
      <w:r w:rsidRPr="005B25BA">
        <w:rPr>
          <w:rFonts w:ascii="Times New Roman" w:eastAsia="Tahoma" w:hAnsi="Times New Roman" w:cs="Tahoma"/>
          <w:color w:val="000000"/>
          <w:sz w:val="23"/>
          <w:szCs w:val="23"/>
        </w:rPr>
        <w:t>end to end</w:t>
      </w:r>
      <w:proofErr w:type="gramEnd"/>
      <w:r w:rsidRPr="005B25BA">
        <w:rPr>
          <w:rFonts w:ascii="Times New Roman" w:eastAsia="Tahoma" w:hAnsi="Times New Roman" w:cs="Tahoma"/>
          <w:color w:val="000000"/>
          <w:sz w:val="23"/>
          <w:szCs w:val="23"/>
        </w:rPr>
        <w:t xml:space="preserve"> operability testing.</w:t>
      </w:r>
    </w:p>
    <w:p w14:paraId="753710FC" w14:textId="77777777" w:rsidR="00E53A4C" w:rsidRPr="005B25BA" w:rsidRDefault="00E53A4C" w:rsidP="00B7589C">
      <w:pPr>
        <w:numPr>
          <w:ilvl w:val="0"/>
          <w:numId w:val="0"/>
        </w:numPr>
        <w:jc w:val="left"/>
        <w:rPr>
          <w:rFonts w:ascii="Times New Roman" w:eastAsia="Tahoma" w:hAnsi="Times New Roman" w:cs="Tahoma"/>
          <w:b/>
          <w:sz w:val="23"/>
          <w:szCs w:val="23"/>
          <w:u w:val="single"/>
          <w:rtl/>
        </w:rPr>
      </w:pPr>
      <w:r w:rsidRPr="005B25BA">
        <w:rPr>
          <w:rFonts w:ascii="Times New Roman" w:eastAsia="Tahoma" w:hAnsi="Times New Roman" w:cs="Tahoma"/>
          <w:b/>
          <w:bCs/>
          <w:sz w:val="23"/>
          <w:szCs w:val="23"/>
          <w:u w:val="single"/>
        </w:rPr>
        <w:t>HANA</w:t>
      </w:r>
    </w:p>
    <w:p w14:paraId="5C9398C5"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Log mode will be defined as Normal.</w:t>
      </w:r>
    </w:p>
    <w:p w14:paraId="255895E9"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 xml:space="preserve">Backup will be defined using </w:t>
      </w:r>
      <w:proofErr w:type="spellStart"/>
      <w:r w:rsidRPr="005B25BA">
        <w:rPr>
          <w:rFonts w:ascii="Times New Roman" w:eastAsia="Tahoma" w:hAnsi="Times New Roman" w:cs="Tahoma"/>
          <w:color w:val="000000"/>
          <w:sz w:val="23"/>
          <w:szCs w:val="23"/>
        </w:rPr>
        <w:t>backint</w:t>
      </w:r>
      <w:proofErr w:type="spellEnd"/>
      <w:r w:rsidRPr="005B25BA">
        <w:rPr>
          <w:rFonts w:ascii="Times New Roman" w:eastAsia="Tahoma" w:hAnsi="Times New Roman" w:cs="Tahoma"/>
          <w:color w:val="000000"/>
          <w:sz w:val="23"/>
          <w:szCs w:val="23"/>
        </w:rPr>
        <w:t xml:space="preserve"> for the relevant backup tool at the hospital.</w:t>
      </w:r>
    </w:p>
    <w:p w14:paraId="527BC50A"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 xml:space="preserve">In the cloud, </w:t>
      </w:r>
      <w:proofErr w:type="spellStart"/>
      <w:r w:rsidRPr="005B25BA">
        <w:rPr>
          <w:rFonts w:ascii="Times New Roman" w:eastAsia="Tahoma" w:hAnsi="Times New Roman" w:cs="Tahoma"/>
          <w:color w:val="000000"/>
          <w:sz w:val="23"/>
          <w:szCs w:val="23"/>
        </w:rPr>
        <w:t>backint</w:t>
      </w:r>
      <w:proofErr w:type="spellEnd"/>
      <w:r w:rsidRPr="005B25BA">
        <w:rPr>
          <w:rFonts w:ascii="Times New Roman" w:eastAsia="Tahoma" w:hAnsi="Times New Roman" w:cs="Tahoma"/>
          <w:color w:val="000000"/>
          <w:sz w:val="23"/>
          <w:szCs w:val="23"/>
        </w:rPr>
        <w:t xml:space="preserve"> will be set for the relevant backup tool or for S3 in the case of AWS </w:t>
      </w:r>
    </w:p>
    <w:p w14:paraId="7142EFB7"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 xml:space="preserve">The backups policy and the frequency of backup will be defined according to the policy established above and will be managed in HANA Cockpit </w:t>
      </w:r>
    </w:p>
    <w:p w14:paraId="2FF32C94"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r w:rsidRPr="005B25BA">
        <w:rPr>
          <w:rFonts w:ascii="Times New Roman" w:eastAsia="Tahoma" w:hAnsi="Times New Roman" w:cs="Tahoma"/>
          <w:color w:val="000000"/>
          <w:sz w:val="23"/>
          <w:szCs w:val="23"/>
        </w:rPr>
        <w:t>Snapshots - if snapshots are taken of the HANA server, it is necessary not to back up the log disk.</w:t>
      </w:r>
    </w:p>
    <w:p w14:paraId="1F01EF3A" w14:textId="77777777" w:rsidR="00E53A4C" w:rsidRPr="005B25BA" w:rsidRDefault="00E53A4C" w:rsidP="00B7589C">
      <w:pPr>
        <w:numPr>
          <w:ilvl w:val="0"/>
          <w:numId w:val="0"/>
        </w:numPr>
        <w:pBdr>
          <w:top w:val="nil"/>
          <w:left w:val="nil"/>
          <w:bottom w:val="nil"/>
          <w:right w:val="nil"/>
          <w:between w:val="nil"/>
        </w:pBdr>
        <w:spacing w:line="259" w:lineRule="auto"/>
        <w:jc w:val="left"/>
        <w:rPr>
          <w:rFonts w:ascii="Times New Roman" w:eastAsia="Tahoma" w:hAnsi="Times New Roman" w:cs="Tahoma"/>
          <w:color w:val="000000"/>
          <w:sz w:val="23"/>
          <w:szCs w:val="23"/>
        </w:rPr>
      </w:pPr>
    </w:p>
    <w:p w14:paraId="5F21A49E" w14:textId="77777777" w:rsidR="00E53A4C" w:rsidRPr="00EE415E" w:rsidRDefault="00E53A4C" w:rsidP="00EE415E">
      <w:pPr>
        <w:tabs>
          <w:tab w:val="clear" w:pos="6480"/>
        </w:tabs>
        <w:ind w:left="0"/>
        <w:jc w:val="left"/>
        <w:rPr>
          <w:b/>
          <w:bCs/>
        </w:rPr>
      </w:pPr>
      <w:bookmarkStart w:id="14" w:name="_Toc172999009"/>
      <w:r w:rsidRPr="00EE415E">
        <w:rPr>
          <w:b/>
          <w:bCs/>
        </w:rPr>
        <w:t>Backup on AWS cloud</w:t>
      </w:r>
      <w:bookmarkEnd w:id="14"/>
      <w:r w:rsidRPr="00EE415E">
        <w:rPr>
          <w:b/>
          <w:bCs/>
        </w:rPr>
        <w:t xml:space="preserve">    </w:t>
      </w:r>
    </w:p>
    <w:p w14:paraId="28B52A13"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To define a backup process using AWS (Amazon Web Services), the following general stages must be performed:</w:t>
      </w:r>
    </w:p>
    <w:p w14:paraId="491BEB3A"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 1. Identification of the data and resources that must be backed up: which data and resources in the AWS environment must be backed up. This may include databases, file systems, virtual machines or other data types.</w:t>
      </w:r>
    </w:p>
    <w:p w14:paraId="4F1BDF1E"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 2. Select suitable backup service: AWS provides a number of backup services, each with its own characteristics and use cases. A number of popular options include AWS backup, Amazon 3S versions, screenshots of Amazon EBS and automatic backups by Amazon RDS. Select the service best matching your requirements.</w:t>
      </w:r>
    </w:p>
    <w:p w14:paraId="7B4B73F0"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 3. Setting a backup schedule according to the policy set above.</w:t>
      </w:r>
    </w:p>
    <w:p w14:paraId="18ABA990" w14:textId="32B97B2F"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 5. Tracking and checking of backups: regularly track your backups to make sure that they run </w:t>
      </w:r>
      <w:r w:rsidR="00167A02" w:rsidRPr="005B25BA">
        <w:rPr>
          <w:rFonts w:ascii="Times New Roman" w:eastAsia="Tahoma" w:hAnsi="Times New Roman" w:cs="Tahoma"/>
          <w:sz w:val="23"/>
          <w:szCs w:val="23"/>
        </w:rPr>
        <w:t>successfully,</w:t>
      </w:r>
      <w:r w:rsidRPr="005B25BA">
        <w:rPr>
          <w:rFonts w:ascii="Times New Roman" w:eastAsia="Tahoma" w:hAnsi="Times New Roman" w:cs="Tahoma"/>
          <w:sz w:val="23"/>
          <w:szCs w:val="23"/>
        </w:rPr>
        <w:t xml:space="preserve"> and that the data is stored securely. Also, it is important to check the restoration process from time to time to make sure that backups may be restored when necessary.</w:t>
      </w:r>
    </w:p>
    <w:p w14:paraId="0C94B808"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tl/>
        </w:rPr>
      </w:pPr>
      <w:r w:rsidRPr="005B25BA">
        <w:rPr>
          <w:rFonts w:ascii="Times New Roman" w:eastAsia="Tahoma" w:hAnsi="Times New Roman" w:cs="Tahoma"/>
          <w:sz w:val="23"/>
          <w:szCs w:val="23"/>
        </w:rPr>
        <w:t xml:space="preserve"> 6. Automation of backup processes: to the extent possible, automation of the backup process to ensure consistency and minimize human errors. AWS provides tools such as AWS CLI, AWS CloudFormation and AWS SDKs to help you make the backup processes automatic. </w:t>
      </w:r>
    </w:p>
    <w:p w14:paraId="4064BFA8"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It is recommended for the automation to be done at the organization level rather than at the account level or specific resource level. </w:t>
      </w:r>
    </w:p>
    <w:p w14:paraId="74196512"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7. Implementation of security measures: apply suitable security measures to protect your backup data. This may include encryption, access controls and ordinary security controls.</w:t>
      </w:r>
    </w:p>
    <w:p w14:paraId="0D4769F7"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lastRenderedPageBreak/>
        <w:t xml:space="preserve"> 8. Documentation and update of backup procedures: documentation of the backup procedures and all relevant configurations. The documentation must be saved updated when changes are made in infrastructure or backup policy.</w:t>
      </w:r>
    </w:p>
    <w:p w14:paraId="07B8D71D"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tl/>
        </w:rPr>
      </w:pPr>
      <w:r w:rsidRPr="005B25BA">
        <w:rPr>
          <w:rFonts w:ascii="Times New Roman" w:eastAsia="Tahoma" w:hAnsi="Times New Roman" w:cs="Tahoma"/>
          <w:sz w:val="23"/>
          <w:szCs w:val="23"/>
        </w:rPr>
        <w:t xml:space="preserve"> 9. The backup strategy must be regularly reviewed and optimized: the backup strategy must be reviewed to make sure that it corresponds with evolving business requirements. </w:t>
      </w:r>
    </w:p>
    <w:p w14:paraId="592137B8"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tl/>
        </w:rPr>
      </w:pPr>
      <w:r w:rsidRPr="005B25BA">
        <w:rPr>
          <w:rFonts w:ascii="Times New Roman" w:eastAsia="Tahoma" w:hAnsi="Times New Roman" w:cs="Tahoma"/>
          <w:sz w:val="23"/>
          <w:szCs w:val="23"/>
        </w:rPr>
        <w:t>The backup process must be optimized to reduce costs, improve efficiency and deal with any possible weak points.</w:t>
      </w:r>
    </w:p>
    <w:p w14:paraId="6A6372EB"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tl/>
        </w:rPr>
      </w:pPr>
      <w:r w:rsidRPr="005B25BA">
        <w:rPr>
          <w:rFonts w:ascii="Times New Roman" w:eastAsia="Tahoma" w:hAnsi="Times New Roman" w:cs="Tahoma"/>
          <w:sz w:val="23"/>
          <w:szCs w:val="23"/>
        </w:rPr>
        <w:t xml:space="preserve"> The specific changes may change according to the AWS services chosen and the character of the data.</w:t>
      </w:r>
    </w:p>
    <w:p w14:paraId="043CA2DA" w14:textId="77777777" w:rsidR="00E53A4C" w:rsidRPr="005B25BA" w:rsidRDefault="00E53A4C" w:rsidP="00B7589C">
      <w:pPr>
        <w:numPr>
          <w:ilvl w:val="0"/>
          <w:numId w:val="0"/>
        </w:numPr>
        <w:pBdr>
          <w:top w:val="nil"/>
          <w:left w:val="nil"/>
          <w:bottom w:val="nil"/>
          <w:right w:val="nil"/>
          <w:between w:val="nil"/>
        </w:pBdr>
        <w:spacing w:after="160" w:line="259" w:lineRule="auto"/>
        <w:jc w:val="left"/>
        <w:rPr>
          <w:rFonts w:ascii="Times New Roman" w:eastAsia="Tahoma" w:hAnsi="Times New Roman" w:cs="Tahoma"/>
          <w:sz w:val="23"/>
          <w:szCs w:val="23"/>
        </w:rPr>
      </w:pPr>
      <w:r w:rsidRPr="005B25BA">
        <w:rPr>
          <w:rFonts w:ascii="Times New Roman" w:eastAsia="Tahoma" w:hAnsi="Times New Roman" w:cs="Tahoma"/>
          <w:sz w:val="23"/>
          <w:szCs w:val="23"/>
        </w:rPr>
        <w:t xml:space="preserve"> It is always recommended to read the official AWS documentation for the specific services that are used to ensure that you work according to the most current methods and directions.</w:t>
      </w:r>
    </w:p>
    <w:p w14:paraId="254033E1" w14:textId="77777777" w:rsidR="00E53A4C" w:rsidRPr="005B25BA" w:rsidRDefault="00E53A4C" w:rsidP="00B7589C">
      <w:pPr>
        <w:numPr>
          <w:ilvl w:val="0"/>
          <w:numId w:val="0"/>
        </w:numPr>
        <w:jc w:val="left"/>
        <w:rPr>
          <w:rFonts w:ascii="Times New Roman" w:hAnsi="Times New Roman"/>
        </w:rPr>
      </w:pPr>
    </w:p>
    <w:p w14:paraId="60018643" w14:textId="77777777" w:rsidR="003A2057" w:rsidRPr="00C36403" w:rsidRDefault="003A2057" w:rsidP="00B7589C">
      <w:pPr>
        <w:numPr>
          <w:ilvl w:val="0"/>
          <w:numId w:val="0"/>
        </w:numPr>
        <w:jc w:val="left"/>
        <w:rPr>
          <w:rFonts w:ascii="Times New Roman" w:hAnsi="Times New Roman"/>
        </w:rPr>
      </w:pPr>
    </w:p>
    <w:sectPr w:rsidR="003A2057" w:rsidRPr="00C36403" w:rsidSect="00665C1F">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11D53A" w14:textId="77777777" w:rsidR="00887893" w:rsidRDefault="00887893" w:rsidP="005D66E3">
      <w:pPr>
        <w:spacing w:line="240" w:lineRule="auto"/>
      </w:pPr>
      <w:r>
        <w:separator/>
      </w:r>
    </w:p>
  </w:endnote>
  <w:endnote w:type="continuationSeparator" w:id="0">
    <w:p w14:paraId="049AE883" w14:textId="77777777" w:rsidR="00887893" w:rsidRDefault="00887893" w:rsidP="005D66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Arial"/>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6C0DE8" w14:textId="77777777" w:rsidR="00887893" w:rsidRDefault="00887893" w:rsidP="005D66E3">
      <w:pPr>
        <w:spacing w:line="240" w:lineRule="auto"/>
      </w:pPr>
      <w:r>
        <w:separator/>
      </w:r>
    </w:p>
  </w:footnote>
  <w:footnote w:type="continuationSeparator" w:id="0">
    <w:p w14:paraId="1706E68F" w14:textId="77777777" w:rsidR="00887893" w:rsidRDefault="00887893" w:rsidP="005D66E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DA9CE0" w14:textId="399402C3" w:rsidR="005D66E3" w:rsidRDefault="005D66E3" w:rsidP="005B6F56">
    <w:pPr>
      <w:pStyle w:val="Header"/>
      <w:numPr>
        <w:ilvl w:val="0"/>
        <w:numId w:val="0"/>
      </w:numPr>
      <w:ind w:left="-990"/>
      <w:jc w:val="left"/>
    </w:pPr>
    <w:r>
      <w:t xml:space="preserve">Ministry of Health                                                   </w:t>
    </w:r>
    <w:r>
      <w:tab/>
      <w:t xml:space="preserve">    Part C Appendices</w:t>
    </w:r>
    <w:r w:rsidR="00AF6619">
      <w:t xml:space="preserve"> </w:t>
    </w:r>
    <w:r w:rsidR="00DD2C69">
      <w:t>180225</w:t>
    </w:r>
    <w:r>
      <w:tab/>
    </w:r>
    <w:r>
      <w:tab/>
    </w:r>
    <w:r>
      <w:tab/>
      <w:t xml:space="preserve">Tender 110-2024 </w:t>
    </w:r>
  </w:p>
  <w:p w14:paraId="3EC1296C" w14:textId="67D06226" w:rsidR="005D66E3" w:rsidRDefault="005D66E3" w:rsidP="005B6F56">
    <w:pPr>
      <w:pStyle w:val="Header"/>
      <w:numPr>
        <w:ilvl w:val="0"/>
        <w:numId w:val="0"/>
      </w:numPr>
      <w:ind w:left="-990"/>
      <w:jc w:val="left"/>
    </w:pPr>
    <w:r>
      <w:t>Division of Government medical centers</w:t>
    </w:r>
    <w:r>
      <w:tab/>
    </w:r>
    <w:r>
      <w:tab/>
    </w:r>
    <w:r>
      <w:tab/>
    </w:r>
    <w:r>
      <w:tab/>
      <w:t xml:space="preserve">page </w:t>
    </w:r>
    <w:r>
      <w:fldChar w:fldCharType="begin"/>
    </w:r>
    <w:r>
      <w:instrText xml:space="preserve"> PAGE   \* MERGEFORMAT </w:instrText>
    </w:r>
    <w:r>
      <w:fldChar w:fldCharType="separate"/>
    </w:r>
    <w:r>
      <w:t>1</w:t>
    </w:r>
    <w:r>
      <w:rPr>
        <w:noProof/>
      </w:rPr>
      <w:fldChar w:fldCharType="end"/>
    </w:r>
  </w:p>
  <w:p w14:paraId="135EEB3B" w14:textId="77777777" w:rsidR="005D66E3" w:rsidRDefault="005D66E3" w:rsidP="005B6F56">
    <w:pPr>
      <w:pStyle w:val="Header"/>
      <w:numPr>
        <w:ilvl w:val="0"/>
        <w:numId w:val="0"/>
      </w:numPr>
      <w:ind w:left="-990"/>
      <w:jc w:val="left"/>
    </w:pPr>
  </w:p>
  <w:p w14:paraId="3728FC23" w14:textId="77777777" w:rsidR="005D66E3" w:rsidRDefault="005D66E3" w:rsidP="005B6F56">
    <w:pPr>
      <w:pStyle w:val="Header"/>
      <w:numPr>
        <w:ilvl w:val="0"/>
        <w:numId w:val="0"/>
      </w:numPr>
      <w:ind w:left="-99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CAF"/>
    <w:multiLevelType w:val="multilevel"/>
    <w:tmpl w:val="ECE0E67C"/>
    <w:lvl w:ilvl="0">
      <w:start w:val="1"/>
      <w:numFmt w:val="bullet"/>
      <w:lvlText w:val="●"/>
      <w:lvlJc w:val="left"/>
      <w:pPr>
        <w:ind w:left="1446" w:hanging="360"/>
      </w:pPr>
      <w:rPr>
        <w:rFonts w:ascii="Noto Sans Symbols" w:eastAsia="Noto Sans Symbols" w:hAnsi="Noto Sans Symbols" w:cs="Noto Sans Symbols"/>
      </w:rPr>
    </w:lvl>
    <w:lvl w:ilvl="1">
      <w:start w:val="1"/>
      <w:numFmt w:val="lowerLetter"/>
      <w:lvlText w:val="%2."/>
      <w:lvlJc w:val="left"/>
      <w:pPr>
        <w:ind w:left="1446" w:hanging="360"/>
      </w:pPr>
    </w:lvl>
    <w:lvl w:ilvl="2">
      <w:start w:val="1"/>
      <w:numFmt w:val="lowerRoman"/>
      <w:pStyle w:val="3"/>
      <w:lvlText w:val="%3."/>
      <w:lvlJc w:val="right"/>
      <w:pPr>
        <w:ind w:left="2166" w:hanging="180"/>
      </w:pPr>
    </w:lvl>
    <w:lvl w:ilvl="3">
      <w:start w:val="1"/>
      <w:numFmt w:val="decimal"/>
      <w:lvlText w:val="%4."/>
      <w:lvlJc w:val="left"/>
      <w:pPr>
        <w:ind w:left="2886" w:hanging="360"/>
      </w:pPr>
    </w:lvl>
    <w:lvl w:ilvl="4">
      <w:start w:val="1"/>
      <w:numFmt w:val="lowerLetter"/>
      <w:lvlText w:val="%5."/>
      <w:lvlJc w:val="left"/>
      <w:pPr>
        <w:ind w:left="3606" w:hanging="360"/>
      </w:pPr>
    </w:lvl>
    <w:lvl w:ilvl="5">
      <w:start w:val="1"/>
      <w:numFmt w:val="lowerRoman"/>
      <w:lvlText w:val="%6."/>
      <w:lvlJc w:val="right"/>
      <w:pPr>
        <w:ind w:left="4326" w:hanging="180"/>
      </w:pPr>
    </w:lvl>
    <w:lvl w:ilvl="6">
      <w:start w:val="1"/>
      <w:numFmt w:val="decimal"/>
      <w:lvlText w:val="%7."/>
      <w:lvlJc w:val="left"/>
      <w:pPr>
        <w:ind w:left="5046" w:hanging="360"/>
      </w:pPr>
    </w:lvl>
    <w:lvl w:ilvl="7">
      <w:start w:val="1"/>
      <w:numFmt w:val="lowerLetter"/>
      <w:lvlText w:val="%8."/>
      <w:lvlJc w:val="left"/>
      <w:pPr>
        <w:ind w:left="5766" w:hanging="360"/>
      </w:pPr>
    </w:lvl>
    <w:lvl w:ilvl="8">
      <w:start w:val="1"/>
      <w:numFmt w:val="lowerRoman"/>
      <w:lvlText w:val="%9."/>
      <w:lvlJc w:val="right"/>
      <w:pPr>
        <w:ind w:left="6486" w:hanging="180"/>
      </w:pPr>
    </w:lvl>
  </w:abstractNum>
  <w:abstractNum w:abstractNumId="1" w15:restartNumberingAfterBreak="0">
    <w:nsid w:val="06F63687"/>
    <w:multiLevelType w:val="multilevel"/>
    <w:tmpl w:val="4538D2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6F80876"/>
    <w:multiLevelType w:val="multilevel"/>
    <w:tmpl w:val="9EEC65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Normal"/>
      <w:lvlText w:val="%9."/>
      <w:lvlJc w:val="left"/>
      <w:pPr>
        <w:tabs>
          <w:tab w:val="num" w:pos="6480"/>
        </w:tabs>
        <w:ind w:left="6480" w:hanging="720"/>
      </w:pPr>
    </w:lvl>
  </w:abstractNum>
  <w:abstractNum w:abstractNumId="3" w15:restartNumberingAfterBreak="0">
    <w:nsid w:val="1A206C66"/>
    <w:multiLevelType w:val="hybridMultilevel"/>
    <w:tmpl w:val="B8BEC86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4022631"/>
    <w:multiLevelType w:val="multilevel"/>
    <w:tmpl w:val="C2827B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7327150"/>
    <w:multiLevelType w:val="multilevel"/>
    <w:tmpl w:val="9A96E1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8C7061A"/>
    <w:multiLevelType w:val="hybridMultilevel"/>
    <w:tmpl w:val="476432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8876AD"/>
    <w:multiLevelType w:val="hybridMultilevel"/>
    <w:tmpl w:val="258E3E7A"/>
    <w:lvl w:ilvl="0" w:tplc="124E8440">
      <w:start w:val="1"/>
      <w:numFmt w:val="hebrew1"/>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0201E34"/>
    <w:multiLevelType w:val="multilevel"/>
    <w:tmpl w:val="EFCE71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FBE54EB"/>
    <w:multiLevelType w:val="multilevel"/>
    <w:tmpl w:val="EF4A95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74830BC5"/>
    <w:multiLevelType w:val="multilevel"/>
    <w:tmpl w:val="66F651D6"/>
    <w:lvl w:ilvl="0">
      <w:start w:val="1"/>
      <w:numFmt w:val="decimal"/>
      <w:pStyle w:val="11"/>
      <w:lvlText w:val="%1)"/>
      <w:lvlJc w:val="left"/>
      <w:pPr>
        <w:ind w:left="720" w:hanging="360"/>
      </w:pPr>
    </w:lvl>
    <w:lvl w:ilvl="1">
      <w:start w:val="1"/>
      <w:numFmt w:val="lowerLetter"/>
      <w:pStyle w:val="21"/>
      <w:lvlText w:val="%2."/>
      <w:lvlJc w:val="left"/>
      <w:pPr>
        <w:ind w:left="1440" w:hanging="360"/>
      </w:pPr>
    </w:lvl>
    <w:lvl w:ilvl="2">
      <w:start w:val="1"/>
      <w:numFmt w:val="lowerRoman"/>
      <w:pStyle w:val="31"/>
      <w:lvlText w:val="%3."/>
      <w:lvlJc w:val="right"/>
      <w:pPr>
        <w:ind w:left="2160" w:hanging="180"/>
      </w:pPr>
    </w:lvl>
    <w:lvl w:ilvl="3">
      <w:start w:val="1"/>
      <w:numFmt w:val="decimal"/>
      <w:pStyle w:val="41"/>
      <w:lvlText w:val="%4."/>
      <w:lvlJc w:val="left"/>
      <w:pPr>
        <w:ind w:left="2880" w:hanging="360"/>
      </w:pPr>
    </w:lvl>
    <w:lvl w:ilvl="4">
      <w:start w:val="1"/>
      <w:numFmt w:val="lowerLetter"/>
      <w:pStyle w:val="51"/>
      <w:lvlText w:val="%5."/>
      <w:lvlJc w:val="left"/>
      <w:pPr>
        <w:ind w:left="3600" w:hanging="360"/>
      </w:pPr>
    </w:lvl>
    <w:lvl w:ilvl="5">
      <w:start w:val="1"/>
      <w:numFmt w:val="lowerRoman"/>
      <w:pStyle w:val="61"/>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8A531A5"/>
    <w:multiLevelType w:val="multilevel"/>
    <w:tmpl w:val="917CEB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7EAC6A00"/>
    <w:multiLevelType w:val="multilevel"/>
    <w:tmpl w:val="C27EDD68"/>
    <w:lvl w:ilvl="0">
      <w:start w:val="1"/>
      <w:numFmt w:val="decimal"/>
      <w:lvlText w:val="%1."/>
      <w:lvlJc w:val="left"/>
      <w:pPr>
        <w:ind w:left="720" w:hanging="360"/>
      </w:pPr>
      <w:rPr>
        <w:sz w:val="36"/>
        <w:szCs w:val="3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16230256">
    <w:abstractNumId w:val="12"/>
  </w:num>
  <w:num w:numId="2" w16cid:durableId="919632590">
    <w:abstractNumId w:val="4"/>
  </w:num>
  <w:num w:numId="3" w16cid:durableId="350961946">
    <w:abstractNumId w:val="1"/>
  </w:num>
  <w:num w:numId="4" w16cid:durableId="929464185">
    <w:abstractNumId w:val="11"/>
  </w:num>
  <w:num w:numId="5" w16cid:durableId="22169042">
    <w:abstractNumId w:val="8"/>
  </w:num>
  <w:num w:numId="6" w16cid:durableId="1363168224">
    <w:abstractNumId w:val="2"/>
  </w:num>
  <w:num w:numId="7" w16cid:durableId="1244217409">
    <w:abstractNumId w:val="10"/>
  </w:num>
  <w:num w:numId="8" w16cid:durableId="1503934337">
    <w:abstractNumId w:val="5"/>
  </w:num>
  <w:num w:numId="9" w16cid:durableId="520120462">
    <w:abstractNumId w:val="0"/>
  </w:num>
  <w:num w:numId="10" w16cid:durableId="2078353135">
    <w:abstractNumId w:val="7"/>
  </w:num>
  <w:num w:numId="11" w16cid:durableId="627854085">
    <w:abstractNumId w:val="2"/>
  </w:num>
  <w:num w:numId="12" w16cid:durableId="1062413928">
    <w:abstractNumId w:val="3"/>
  </w:num>
  <w:num w:numId="13" w16cid:durableId="10599835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6E3"/>
    <w:rsid w:val="00107722"/>
    <w:rsid w:val="001445F8"/>
    <w:rsid w:val="00167A02"/>
    <w:rsid w:val="0021170B"/>
    <w:rsid w:val="00243F74"/>
    <w:rsid w:val="002475E9"/>
    <w:rsid w:val="00273F8C"/>
    <w:rsid w:val="00295671"/>
    <w:rsid w:val="002B781F"/>
    <w:rsid w:val="002F40E9"/>
    <w:rsid w:val="003542BD"/>
    <w:rsid w:val="003A2057"/>
    <w:rsid w:val="003A6C97"/>
    <w:rsid w:val="004A339F"/>
    <w:rsid w:val="00533578"/>
    <w:rsid w:val="00544E28"/>
    <w:rsid w:val="0055038D"/>
    <w:rsid w:val="005638D0"/>
    <w:rsid w:val="005B6F56"/>
    <w:rsid w:val="005D66E3"/>
    <w:rsid w:val="005F3827"/>
    <w:rsid w:val="00605D4D"/>
    <w:rsid w:val="0060733B"/>
    <w:rsid w:val="00633796"/>
    <w:rsid w:val="00665C1F"/>
    <w:rsid w:val="006C0460"/>
    <w:rsid w:val="00732260"/>
    <w:rsid w:val="00737FD9"/>
    <w:rsid w:val="00751FD9"/>
    <w:rsid w:val="00774438"/>
    <w:rsid w:val="00785B94"/>
    <w:rsid w:val="007B768A"/>
    <w:rsid w:val="007F0FB3"/>
    <w:rsid w:val="00800306"/>
    <w:rsid w:val="00812AB6"/>
    <w:rsid w:val="00887893"/>
    <w:rsid w:val="00892320"/>
    <w:rsid w:val="008F0A00"/>
    <w:rsid w:val="009249A2"/>
    <w:rsid w:val="00942488"/>
    <w:rsid w:val="009A0A4B"/>
    <w:rsid w:val="009C6343"/>
    <w:rsid w:val="009E3FE3"/>
    <w:rsid w:val="00A22ECD"/>
    <w:rsid w:val="00A8431B"/>
    <w:rsid w:val="00AB301C"/>
    <w:rsid w:val="00AB4360"/>
    <w:rsid w:val="00AF6619"/>
    <w:rsid w:val="00B2656C"/>
    <w:rsid w:val="00B310A7"/>
    <w:rsid w:val="00B7589C"/>
    <w:rsid w:val="00BB1308"/>
    <w:rsid w:val="00BF53E4"/>
    <w:rsid w:val="00C36403"/>
    <w:rsid w:val="00C74503"/>
    <w:rsid w:val="00D53AD4"/>
    <w:rsid w:val="00DD2C69"/>
    <w:rsid w:val="00E14F47"/>
    <w:rsid w:val="00E53A4C"/>
    <w:rsid w:val="00E564F6"/>
    <w:rsid w:val="00E66FF7"/>
    <w:rsid w:val="00EE415E"/>
    <w:rsid w:val="00F808A6"/>
    <w:rsid w:val="00FA1A4B"/>
    <w:rsid w:val="00FC005F"/>
    <w:rsid w:val="00FC4DA7"/>
    <w:rsid w:val="00FC58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F5277C"/>
  <w15:chartTrackingRefBased/>
  <w15:docId w15:val="{81573973-8B5D-475C-9DF2-0C2EF0677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66E3"/>
    <w:pPr>
      <w:numPr>
        <w:ilvl w:val="8"/>
        <w:numId w:val="6"/>
      </w:numPr>
      <w:spacing w:after="0" w:line="360" w:lineRule="auto"/>
      <w:jc w:val="right"/>
    </w:pPr>
    <w:rPr>
      <w:rFonts w:cs="David"/>
      <w:sz w:val="24"/>
      <w:szCs w:val="24"/>
      <w14:ligatures w14:val="standardContextual"/>
    </w:rPr>
  </w:style>
  <w:style w:type="paragraph" w:styleId="Heading1">
    <w:name w:val="heading 1"/>
    <w:basedOn w:val="Normal"/>
    <w:next w:val="Normal"/>
    <w:link w:val="Heading1Char"/>
    <w:uiPriority w:val="9"/>
    <w:qFormat/>
    <w:rsid w:val="005D66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D66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D66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D66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D66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D66E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D66E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D66E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D66E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66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D66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D66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D66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D66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D66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D66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D66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D66E3"/>
    <w:rPr>
      <w:rFonts w:eastAsiaTheme="majorEastAsia" w:cstheme="majorBidi"/>
      <w:color w:val="272727" w:themeColor="text1" w:themeTint="D8"/>
    </w:rPr>
  </w:style>
  <w:style w:type="paragraph" w:styleId="Title">
    <w:name w:val="Title"/>
    <w:basedOn w:val="Normal"/>
    <w:next w:val="Normal"/>
    <w:link w:val="TitleChar"/>
    <w:uiPriority w:val="10"/>
    <w:qFormat/>
    <w:rsid w:val="005D66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D66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D66E3"/>
    <w:pPr>
      <w:numPr>
        <w:ilvl w:val="1"/>
        <w:numId w:val="0"/>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D66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D66E3"/>
    <w:pPr>
      <w:spacing w:before="160"/>
      <w:jc w:val="center"/>
    </w:pPr>
    <w:rPr>
      <w:i/>
      <w:iCs/>
      <w:color w:val="404040" w:themeColor="text1" w:themeTint="BF"/>
    </w:rPr>
  </w:style>
  <w:style w:type="character" w:customStyle="1" w:styleId="QuoteChar">
    <w:name w:val="Quote Char"/>
    <w:basedOn w:val="DefaultParagraphFont"/>
    <w:link w:val="Quote"/>
    <w:uiPriority w:val="29"/>
    <w:rsid w:val="005D66E3"/>
    <w:rPr>
      <w:i/>
      <w:iCs/>
      <w:color w:val="404040" w:themeColor="text1" w:themeTint="BF"/>
    </w:rPr>
  </w:style>
  <w:style w:type="paragraph" w:styleId="ListParagraph">
    <w:name w:val="List Paragraph"/>
    <w:aliases w:val="Figure_name"/>
    <w:basedOn w:val="Normal"/>
    <w:link w:val="ListParagraphChar"/>
    <w:uiPriority w:val="34"/>
    <w:qFormat/>
    <w:rsid w:val="005D66E3"/>
    <w:pPr>
      <w:contextualSpacing/>
    </w:pPr>
  </w:style>
  <w:style w:type="character" w:styleId="IntenseEmphasis">
    <w:name w:val="Intense Emphasis"/>
    <w:basedOn w:val="DefaultParagraphFont"/>
    <w:uiPriority w:val="21"/>
    <w:qFormat/>
    <w:rsid w:val="005D66E3"/>
    <w:rPr>
      <w:i/>
      <w:iCs/>
      <w:color w:val="0F4761" w:themeColor="accent1" w:themeShade="BF"/>
    </w:rPr>
  </w:style>
  <w:style w:type="paragraph" w:styleId="IntenseQuote">
    <w:name w:val="Intense Quote"/>
    <w:basedOn w:val="Normal"/>
    <w:next w:val="Normal"/>
    <w:link w:val="IntenseQuoteChar"/>
    <w:uiPriority w:val="30"/>
    <w:qFormat/>
    <w:rsid w:val="005D66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D66E3"/>
    <w:rPr>
      <w:i/>
      <w:iCs/>
      <w:color w:val="0F4761" w:themeColor="accent1" w:themeShade="BF"/>
    </w:rPr>
  </w:style>
  <w:style w:type="character" w:styleId="IntenseReference">
    <w:name w:val="Intense Reference"/>
    <w:basedOn w:val="DefaultParagraphFont"/>
    <w:uiPriority w:val="32"/>
    <w:qFormat/>
    <w:rsid w:val="005D66E3"/>
    <w:rPr>
      <w:b/>
      <w:bCs/>
      <w:smallCaps/>
      <w:color w:val="0F4761" w:themeColor="accent1" w:themeShade="BF"/>
      <w:spacing w:val="5"/>
    </w:rPr>
  </w:style>
  <w:style w:type="paragraph" w:styleId="Header">
    <w:name w:val="header"/>
    <w:basedOn w:val="Normal"/>
    <w:link w:val="HeaderChar"/>
    <w:uiPriority w:val="99"/>
    <w:unhideWhenUsed/>
    <w:rsid w:val="005D66E3"/>
    <w:pPr>
      <w:tabs>
        <w:tab w:val="center" w:pos="4320"/>
        <w:tab w:val="right" w:pos="8640"/>
      </w:tabs>
      <w:spacing w:line="240" w:lineRule="auto"/>
    </w:pPr>
  </w:style>
  <w:style w:type="character" w:customStyle="1" w:styleId="HeaderChar">
    <w:name w:val="Header Char"/>
    <w:basedOn w:val="DefaultParagraphFont"/>
    <w:link w:val="Header"/>
    <w:uiPriority w:val="99"/>
    <w:rsid w:val="005D66E3"/>
    <w:rPr>
      <w:rFonts w:cs="David"/>
      <w:sz w:val="24"/>
      <w:szCs w:val="24"/>
      <w14:ligatures w14:val="standardContextual"/>
    </w:rPr>
  </w:style>
  <w:style w:type="paragraph" w:styleId="Footer">
    <w:name w:val="footer"/>
    <w:basedOn w:val="Normal"/>
    <w:link w:val="FooterChar"/>
    <w:uiPriority w:val="99"/>
    <w:unhideWhenUsed/>
    <w:rsid w:val="005D66E3"/>
    <w:pPr>
      <w:tabs>
        <w:tab w:val="center" w:pos="4320"/>
        <w:tab w:val="right" w:pos="8640"/>
      </w:tabs>
      <w:spacing w:line="240" w:lineRule="auto"/>
    </w:pPr>
  </w:style>
  <w:style w:type="character" w:customStyle="1" w:styleId="FooterChar">
    <w:name w:val="Footer Char"/>
    <w:basedOn w:val="DefaultParagraphFont"/>
    <w:link w:val="Footer"/>
    <w:uiPriority w:val="99"/>
    <w:rsid w:val="005D66E3"/>
    <w:rPr>
      <w:rFonts w:cs="David"/>
      <w:sz w:val="24"/>
      <w:szCs w:val="24"/>
      <w14:ligatures w14:val="standardContextual"/>
    </w:rPr>
  </w:style>
  <w:style w:type="character" w:styleId="Hyperlink">
    <w:name w:val="Hyperlink"/>
    <w:basedOn w:val="DefaultParagraphFont"/>
    <w:uiPriority w:val="99"/>
    <w:unhideWhenUsed/>
    <w:rsid w:val="002F40E9"/>
    <w:rPr>
      <w:color w:val="0563C1"/>
      <w:u w:val="single"/>
    </w:rPr>
  </w:style>
  <w:style w:type="character" w:styleId="FollowedHyperlink">
    <w:name w:val="FollowedHyperlink"/>
    <w:basedOn w:val="DefaultParagraphFont"/>
    <w:uiPriority w:val="99"/>
    <w:semiHidden/>
    <w:unhideWhenUsed/>
    <w:rsid w:val="002F40E9"/>
    <w:rPr>
      <w:color w:val="954F72"/>
      <w:u w:val="single"/>
    </w:rPr>
  </w:style>
  <w:style w:type="paragraph" w:customStyle="1" w:styleId="msonormal0">
    <w:name w:val="msonormal"/>
    <w:basedOn w:val="Normal"/>
    <w:rsid w:val="002F40E9"/>
    <w:pPr>
      <w:spacing w:before="100" w:beforeAutospacing="1" w:after="100" w:afterAutospacing="1" w:line="240" w:lineRule="auto"/>
      <w:jc w:val="left"/>
    </w:pPr>
    <w:rPr>
      <w:rFonts w:ascii="Times New Roman" w:eastAsia="Times New Roman" w:hAnsi="Times New Roman" w:cs="Times New Roman"/>
      <w14:ligatures w14:val="none"/>
    </w:rPr>
  </w:style>
  <w:style w:type="paragraph" w:customStyle="1" w:styleId="xl63">
    <w:name w:val="xl63"/>
    <w:basedOn w:val="Normal"/>
    <w:rsid w:val="002F40E9"/>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cs="Times New Roman"/>
      <w14:ligatures w14:val="none"/>
    </w:rPr>
  </w:style>
  <w:style w:type="paragraph" w:customStyle="1" w:styleId="xl64">
    <w:name w:val="xl64"/>
    <w:basedOn w:val="Normal"/>
    <w:rsid w:val="002F40E9"/>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cs="Times New Roman"/>
      <w14:ligatures w14:val="none"/>
    </w:rPr>
  </w:style>
  <w:style w:type="paragraph" w:customStyle="1" w:styleId="xl65">
    <w:name w:val="xl65"/>
    <w:basedOn w:val="Normal"/>
    <w:rsid w:val="002F40E9"/>
    <w:pPr>
      <w:spacing w:before="100" w:beforeAutospacing="1" w:after="100" w:afterAutospacing="1" w:line="240" w:lineRule="auto"/>
      <w:jc w:val="left"/>
    </w:pPr>
    <w:rPr>
      <w:rFonts w:ascii="Times New Roman" w:eastAsia="Times New Roman" w:hAnsi="Times New Roman" w:cs="Times New Roman"/>
      <w14:ligatures w14:val="none"/>
    </w:rPr>
  </w:style>
  <w:style w:type="paragraph" w:customStyle="1" w:styleId="xl66">
    <w:name w:val="xl66"/>
    <w:basedOn w:val="Normal"/>
    <w:rsid w:val="002F40E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14:ligatures w14:val="none"/>
    </w:rPr>
  </w:style>
  <w:style w:type="paragraph" w:customStyle="1" w:styleId="xl67">
    <w:name w:val="xl67"/>
    <w:basedOn w:val="Normal"/>
    <w:rsid w:val="002F40E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14:ligatures w14:val="none"/>
    </w:rPr>
  </w:style>
  <w:style w:type="paragraph" w:customStyle="1" w:styleId="xl68">
    <w:name w:val="xl68"/>
    <w:basedOn w:val="Normal"/>
    <w:rsid w:val="002F40E9"/>
    <w:pPr>
      <w:spacing w:before="100" w:beforeAutospacing="1" w:after="100" w:afterAutospacing="1" w:line="240" w:lineRule="auto"/>
      <w:jc w:val="center"/>
    </w:pPr>
    <w:rPr>
      <w:rFonts w:ascii="Times New Roman" w:eastAsia="Times New Roman" w:hAnsi="Times New Roman" w:cs="Times New Roman"/>
      <w14:ligatures w14:val="none"/>
    </w:rPr>
  </w:style>
  <w:style w:type="paragraph" w:customStyle="1" w:styleId="xl69">
    <w:name w:val="xl69"/>
    <w:basedOn w:val="Normal"/>
    <w:rsid w:val="002F40E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center"/>
    </w:pPr>
    <w:rPr>
      <w:rFonts w:ascii="Times New Roman" w:eastAsia="Times New Roman" w:hAnsi="Times New Roman" w:cs="Times New Roman"/>
      <w:color w:val="FFFFFF"/>
      <w:sz w:val="28"/>
      <w:szCs w:val="28"/>
      <w14:ligatures w14:val="none"/>
    </w:rPr>
  </w:style>
  <w:style w:type="paragraph" w:customStyle="1" w:styleId="xl70">
    <w:name w:val="xl70"/>
    <w:basedOn w:val="Normal"/>
    <w:rsid w:val="002F40E9"/>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14:ligatures w14:val="none"/>
    </w:rPr>
  </w:style>
  <w:style w:type="paragraph" w:customStyle="1" w:styleId="1">
    <w:name w:val="סגנון1"/>
    <w:basedOn w:val="ListParagraph"/>
    <w:link w:val="10"/>
    <w:qFormat/>
    <w:rsid w:val="00FC4DA7"/>
    <w:pPr>
      <w:tabs>
        <w:tab w:val="left" w:pos="793"/>
      </w:tabs>
      <w:bidi/>
      <w:ind w:left="0"/>
      <w:contextualSpacing w:val="0"/>
    </w:pPr>
    <w:rPr>
      <w:b/>
      <w:bCs/>
      <w:sz w:val="32"/>
      <w:szCs w:val="32"/>
    </w:rPr>
  </w:style>
  <w:style w:type="character" w:customStyle="1" w:styleId="10">
    <w:name w:val="סגנון1 תו"/>
    <w:basedOn w:val="DefaultParagraphFont"/>
    <w:link w:val="1"/>
    <w:rsid w:val="00FC4DA7"/>
    <w:rPr>
      <w:rFonts w:cs="David"/>
      <w:b/>
      <w:bCs/>
      <w:sz w:val="32"/>
      <w:szCs w:val="32"/>
      <w14:ligatures w14:val="standardContextual"/>
    </w:rPr>
  </w:style>
  <w:style w:type="paragraph" w:styleId="TOC1">
    <w:name w:val="toc 1"/>
    <w:basedOn w:val="Normal"/>
    <w:next w:val="Normal"/>
    <w:autoRedefine/>
    <w:uiPriority w:val="39"/>
    <w:unhideWhenUsed/>
    <w:rsid w:val="00E53A4C"/>
    <w:pPr>
      <w:numPr>
        <w:ilvl w:val="0"/>
        <w:numId w:val="0"/>
      </w:numPr>
      <w:tabs>
        <w:tab w:val="left" w:pos="1540"/>
        <w:tab w:val="right" w:leader="dot" w:pos="9346"/>
      </w:tabs>
      <w:bidi/>
      <w:spacing w:after="100" w:line="276" w:lineRule="auto"/>
      <w:jc w:val="left"/>
    </w:pPr>
    <w:rPr>
      <w:rFonts w:ascii="Tahoma" w:eastAsiaTheme="minorEastAsia" w:hAnsi="Tahoma" w:cs="Tahoma"/>
      <w:noProof/>
      <w14:ligatures w14:val="none"/>
    </w:rPr>
  </w:style>
  <w:style w:type="paragraph" w:customStyle="1" w:styleId="11">
    <w:name w:val="כותרת 11"/>
    <w:aliases w:val="כותרת 1 תו תו,Heading 1 תו,H2,Heading,Aharoni 32 underline,כותרת על,כותרת מודגשת עם קו,b1,Top 1,כותרת1,ראש פרק,ראשי גת"/>
    <w:basedOn w:val="Normal"/>
    <w:uiPriority w:val="99"/>
    <w:rsid w:val="006C0460"/>
    <w:pPr>
      <w:numPr>
        <w:ilvl w:val="0"/>
        <w:numId w:val="7"/>
      </w:numPr>
      <w:bidi/>
      <w:spacing w:before="120" w:after="240"/>
      <w:jc w:val="both"/>
    </w:pPr>
    <w:rPr>
      <w:rFonts w:eastAsia="Calibri" w:cstheme="minorBidi"/>
      <w:sz w:val="22"/>
      <w:szCs w:val="22"/>
      <w:lang w:eastAsia="he-IL"/>
      <w14:ligatures w14:val="none"/>
    </w:rPr>
  </w:style>
  <w:style w:type="paragraph" w:customStyle="1" w:styleId="21">
    <w:name w:val="כותרת 21"/>
    <w:aliases w:val="E,h2,h21 תו,h21"/>
    <w:basedOn w:val="Normal"/>
    <w:uiPriority w:val="9"/>
    <w:rsid w:val="006C0460"/>
    <w:pPr>
      <w:numPr>
        <w:ilvl w:val="1"/>
        <w:numId w:val="7"/>
      </w:numPr>
      <w:bidi/>
      <w:spacing w:before="240" w:after="120" w:line="300" w:lineRule="atLeast"/>
      <w:jc w:val="both"/>
    </w:pPr>
    <w:rPr>
      <w:rFonts w:ascii="Times New Roman" w:eastAsia="Calibri" w:hAnsi="Times New Roman" w:cs="Times New Roman"/>
      <w:lang w:eastAsia="he-IL"/>
      <w14:ligatures w14:val="none"/>
    </w:rPr>
  </w:style>
  <w:style w:type="paragraph" w:customStyle="1" w:styleId="31">
    <w:name w:val="כותרת 31"/>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uiPriority w:val="99"/>
    <w:rsid w:val="006C0460"/>
    <w:pPr>
      <w:numPr>
        <w:ilvl w:val="2"/>
        <w:numId w:val="7"/>
      </w:numPr>
      <w:bidi/>
      <w:spacing w:after="120"/>
      <w:jc w:val="both"/>
    </w:pPr>
    <w:rPr>
      <w:rFonts w:ascii="Times New Roman" w:eastAsia="Calibri" w:hAnsi="Times New Roman" w:cs="Times New Roman"/>
      <w:u w:val="single"/>
      <w:lang w:eastAsia="he-IL"/>
      <w14:ligatures w14:val="none"/>
    </w:rPr>
  </w:style>
  <w:style w:type="paragraph" w:customStyle="1" w:styleId="41">
    <w:name w:val="כותרת 41"/>
    <w:aliases w:val="Heading 4 תו,Heading 4 תו תו תו תו,Ref Heading 1,rh1,Normal 24 B,First Subheading"/>
    <w:basedOn w:val="Normal"/>
    <w:uiPriority w:val="9"/>
    <w:rsid w:val="006C0460"/>
    <w:pPr>
      <w:numPr>
        <w:ilvl w:val="3"/>
        <w:numId w:val="7"/>
      </w:numPr>
      <w:bidi/>
      <w:spacing w:before="100" w:beforeAutospacing="1" w:after="120"/>
      <w:jc w:val="left"/>
    </w:pPr>
    <w:rPr>
      <w:rFonts w:ascii="Times New Roman" w:eastAsia="Calibri" w:hAnsi="Times New Roman" w:cs="Times New Roman"/>
      <w:color w:val="000000"/>
      <w:lang w:eastAsia="he-IL"/>
      <w14:ligatures w14:val="none"/>
    </w:rPr>
  </w:style>
  <w:style w:type="paragraph" w:customStyle="1" w:styleId="51">
    <w:name w:val="כותרת 51"/>
    <w:aliases w:val="Heading 5 תו,H5,H51,H52,H53,H54,H55,H56,H57,H58,H59,H510,H511,H512,H513,H514,H515,H516,H517,H518,H519,H520,H521,H522,H523,H524,H525,H526,H527,H528,H529,H530,H531,H532,H533,H534,H535,H536,H537,H538,H539,H540,H541,H542,H543,H544,H545"/>
    <w:basedOn w:val="Normal"/>
    <w:uiPriority w:val="99"/>
    <w:rsid w:val="006C0460"/>
    <w:pPr>
      <w:numPr>
        <w:ilvl w:val="4"/>
        <w:numId w:val="7"/>
      </w:numPr>
      <w:bidi/>
      <w:spacing w:before="100" w:beforeAutospacing="1" w:after="120"/>
      <w:jc w:val="left"/>
    </w:pPr>
    <w:rPr>
      <w:rFonts w:ascii="Times New Roman" w:eastAsia="Calibri" w:hAnsi="Times New Roman" w:cs="Times New Roman"/>
      <w:color w:val="000000"/>
      <w:lang w:eastAsia="he-IL"/>
      <w14:ligatures w14:val="none"/>
    </w:rPr>
  </w:style>
  <w:style w:type="paragraph" w:customStyle="1" w:styleId="61">
    <w:name w:val="כותרת 61"/>
    <w:aliases w:val="רגיל ממוספר 123 תחת אב"/>
    <w:basedOn w:val="Normal"/>
    <w:uiPriority w:val="99"/>
    <w:rsid w:val="006C0460"/>
    <w:pPr>
      <w:numPr>
        <w:ilvl w:val="5"/>
        <w:numId w:val="7"/>
      </w:numPr>
      <w:bidi/>
      <w:spacing w:before="240" w:after="60"/>
      <w:jc w:val="both"/>
    </w:pPr>
    <w:rPr>
      <w:rFonts w:ascii="Calibri" w:eastAsia="Calibri" w:hAnsi="Calibri" w:cs="Calibri"/>
      <w:sz w:val="22"/>
      <w:szCs w:val="22"/>
      <w:lang w:eastAsia="ko-KR"/>
      <w14:ligatures w14:val="none"/>
    </w:rPr>
  </w:style>
  <w:style w:type="character" w:customStyle="1" w:styleId="ListParagraphChar">
    <w:name w:val="List Paragraph Char"/>
    <w:aliases w:val="Figure_name Char"/>
    <w:basedOn w:val="DefaultParagraphFont"/>
    <w:link w:val="ListParagraph"/>
    <w:uiPriority w:val="34"/>
    <w:rsid w:val="006C0460"/>
    <w:rPr>
      <w:rFonts w:cs="David"/>
      <w:sz w:val="24"/>
      <w:szCs w:val="24"/>
      <w14:ligatures w14:val="standardContextual"/>
    </w:rPr>
  </w:style>
  <w:style w:type="paragraph" w:customStyle="1" w:styleId="3">
    <w:name w:val="סגנון 3 סעיף"/>
    <w:basedOn w:val="Normal"/>
    <w:qFormat/>
    <w:rsid w:val="006C0460"/>
    <w:pPr>
      <w:numPr>
        <w:ilvl w:val="2"/>
        <w:numId w:val="9"/>
      </w:numPr>
      <w:bidi/>
      <w:spacing w:before="120" w:after="120"/>
      <w:ind w:left="1372" w:right="1134" w:hanging="663"/>
      <w:jc w:val="left"/>
    </w:pPr>
    <w:rPr>
      <w:rFonts w:eastAsia="Calibri"/>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2008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E46B9F-8455-456B-8EAD-BE81B5E1D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3691</Words>
  <Characters>21045</Characters>
  <Application>Microsoft Office Word</Application>
  <DocSecurity>0</DocSecurity>
  <Lines>175</Lines>
  <Paragraphs>49</Paragraphs>
  <ScaleCrop>false</ScaleCrop>
  <Company/>
  <LinksUpToDate>false</LinksUpToDate>
  <CharactersWithSpaces>24687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Efrat Shelach Yeshurun</cp:lastModifiedBy>
  <cp:revision>17</cp:revision>
  <cp:lastPrinted>2025-03-30T14:15:00Z</cp:lastPrinted>
  <dcterms:created xsi:type="dcterms:W3CDTF">2024-08-22T10:08:00Z</dcterms:created>
  <dcterms:modified xsi:type="dcterms:W3CDTF">2025-03-30T14:15:00Z</dcterms:modified>
</cp:coreProperties>
</file>